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8D" w:rsidRPr="006A6E77" w:rsidRDefault="0041648D" w:rsidP="0041648D">
      <w:pPr>
        <w:spacing w:line="360" w:lineRule="auto"/>
        <w:jc w:val="center"/>
        <w:rPr>
          <w:b/>
          <w:sz w:val="28"/>
          <w:szCs w:val="28"/>
        </w:rPr>
      </w:pPr>
      <w:r w:rsidRPr="006A6E77">
        <w:rPr>
          <w:b/>
          <w:sz w:val="28"/>
          <w:szCs w:val="28"/>
        </w:rPr>
        <w:t xml:space="preserve">UCHWAŁA RADY WYDZIAŁU </w:t>
      </w:r>
    </w:p>
    <w:p w:rsidR="0041648D" w:rsidRPr="006A6E77" w:rsidRDefault="0041648D" w:rsidP="0041648D">
      <w:pPr>
        <w:spacing w:line="360" w:lineRule="auto"/>
        <w:jc w:val="center"/>
        <w:rPr>
          <w:b/>
          <w:sz w:val="28"/>
          <w:szCs w:val="28"/>
        </w:rPr>
      </w:pPr>
      <w:r w:rsidRPr="006A6E77">
        <w:rPr>
          <w:b/>
          <w:sz w:val="28"/>
          <w:szCs w:val="28"/>
        </w:rPr>
        <w:t>ADMINISTRACJI I NAUK SPOŁECZNYCH</w:t>
      </w:r>
    </w:p>
    <w:p w:rsidR="0041648D" w:rsidRPr="006A6E77" w:rsidRDefault="0041648D" w:rsidP="0041648D">
      <w:pPr>
        <w:spacing w:line="360" w:lineRule="auto"/>
        <w:jc w:val="center"/>
        <w:rPr>
          <w:b/>
          <w:bCs/>
        </w:rPr>
      </w:pPr>
      <w:r w:rsidRPr="006A6E77">
        <w:rPr>
          <w:b/>
          <w:bCs/>
        </w:rPr>
        <w:t>Elbląskiej Uczelni Humanistyczno-Ekonomicznej w Elblągu</w:t>
      </w:r>
    </w:p>
    <w:p w:rsidR="0041648D" w:rsidRPr="006A6E77" w:rsidRDefault="004D1F95" w:rsidP="0041648D">
      <w:pPr>
        <w:pStyle w:val="Tytu"/>
        <w:spacing w:line="276" w:lineRule="auto"/>
      </w:pPr>
      <w:r w:rsidRPr="006A6E77">
        <w:t xml:space="preserve">z dnia 28 września </w:t>
      </w:r>
      <w:r w:rsidR="0041648D" w:rsidRPr="006A6E77">
        <w:t>2019 roku</w:t>
      </w:r>
    </w:p>
    <w:p w:rsidR="0041648D" w:rsidRPr="006A6E77" w:rsidRDefault="0041648D" w:rsidP="0041648D">
      <w:pPr>
        <w:pStyle w:val="Tytu"/>
        <w:spacing w:line="276" w:lineRule="auto"/>
      </w:pPr>
    </w:p>
    <w:p w:rsidR="0041648D" w:rsidRPr="006A6E77" w:rsidRDefault="0041648D" w:rsidP="0041648D">
      <w:pPr>
        <w:pStyle w:val="Tytu"/>
        <w:spacing w:line="276" w:lineRule="auto"/>
        <w:rPr>
          <w:sz w:val="32"/>
          <w:szCs w:val="32"/>
        </w:rPr>
      </w:pPr>
    </w:p>
    <w:p w:rsidR="003307B9" w:rsidRPr="006A6E77" w:rsidRDefault="004D1F95" w:rsidP="00C94746">
      <w:pPr>
        <w:pStyle w:val="Tytu"/>
        <w:spacing w:line="276" w:lineRule="auto"/>
        <w:rPr>
          <w:sz w:val="32"/>
          <w:szCs w:val="32"/>
        </w:rPr>
      </w:pPr>
      <w:r w:rsidRPr="006A6E77">
        <w:rPr>
          <w:sz w:val="32"/>
          <w:szCs w:val="32"/>
        </w:rPr>
        <w:t>Regulamin praktyk zawodowych</w:t>
      </w:r>
    </w:p>
    <w:p w:rsidR="00C94746" w:rsidRPr="006A6E77" w:rsidRDefault="004D1F95" w:rsidP="00C94746">
      <w:pPr>
        <w:pStyle w:val="Tytu"/>
        <w:spacing w:line="276" w:lineRule="auto"/>
        <w:rPr>
          <w:sz w:val="32"/>
          <w:szCs w:val="32"/>
        </w:rPr>
      </w:pPr>
      <w:r w:rsidRPr="006A6E77">
        <w:rPr>
          <w:sz w:val="32"/>
          <w:szCs w:val="32"/>
        </w:rPr>
        <w:t>na kierunku administracja</w:t>
      </w:r>
    </w:p>
    <w:p w:rsidR="00063178" w:rsidRPr="006A6E77" w:rsidRDefault="00063178" w:rsidP="0041648D">
      <w:pPr>
        <w:rPr>
          <w:bCs/>
          <w:sz w:val="20"/>
          <w:szCs w:val="20"/>
        </w:rPr>
      </w:pPr>
    </w:p>
    <w:p w:rsidR="00063178" w:rsidRPr="006A6E77" w:rsidRDefault="004D1F95" w:rsidP="00C94746">
      <w:pPr>
        <w:pStyle w:val="Nagwek3"/>
        <w:rPr>
          <w:u w:val="none"/>
        </w:rPr>
      </w:pPr>
      <w:r w:rsidRPr="006A6E77">
        <w:br/>
      </w:r>
    </w:p>
    <w:p w:rsidR="00C94746" w:rsidRPr="006A6E77" w:rsidRDefault="004D1F95" w:rsidP="00C94746">
      <w:pPr>
        <w:pStyle w:val="Nagwek3"/>
      </w:pPr>
      <w:r w:rsidRPr="006A6E77">
        <w:rPr>
          <w:u w:val="none"/>
        </w:rPr>
        <w:t>Postanowienia ogólne</w:t>
      </w:r>
    </w:p>
    <w:p w:rsidR="00C94746" w:rsidRPr="006A6E77" w:rsidRDefault="00C94746" w:rsidP="00C94746">
      <w:pPr>
        <w:jc w:val="center"/>
        <w:rPr>
          <w:b/>
          <w:bCs/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1</w:t>
      </w:r>
    </w:p>
    <w:p w:rsidR="00C94746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rPr>
          <w:szCs w:val="28"/>
        </w:rPr>
        <w:t>Niniejszy Regulamin praktyk dotyczy studentów studiów pierwszego i drugiego stopnia – stacjonarnych i niestacjonarnych kierunku administracja.</w:t>
      </w:r>
    </w:p>
    <w:p w:rsidR="0098602E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rPr>
          <w:szCs w:val="28"/>
        </w:rPr>
        <w:t xml:space="preserve">Praktyki stanowią integralną część procesu kształcenia studentów i jako wynikające </w:t>
      </w:r>
      <w:r w:rsidRPr="006A6E77">
        <w:rPr>
          <w:szCs w:val="28"/>
        </w:rPr>
        <w:br/>
        <w:t xml:space="preserve">z toku studiów podlegają zaliczeniu. </w:t>
      </w:r>
    </w:p>
    <w:p w:rsidR="00C94746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rPr>
          <w:szCs w:val="28"/>
        </w:rPr>
        <w:t>Zgodnie z programami kształcenia  dla studiów stacjonarnych i niestacjonarnych pierwszego stopnia wymiar czasu wynosi 6 miesięcy (600 godzin) – 4 miesiące (400 godzin) praktyka zawodowa w module I i 2 miesiące (200 godzin) praktyka zawodowa w module II, natomiast dla studiów drugiego stopnia wymiar czasu wynosi 3 miesiące (300 godzin).</w:t>
      </w:r>
    </w:p>
    <w:p w:rsidR="0098602E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t xml:space="preserve">Praktyka studencka jest realizowana w semestrach wskazanych w planie studiów, </w:t>
      </w:r>
    </w:p>
    <w:p w:rsidR="0098602E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t>Praktyce studenckiej zostały przypisane punkty ECTS:</w:t>
      </w:r>
    </w:p>
    <w:p w:rsidR="00C94746" w:rsidRPr="006A6E77" w:rsidRDefault="004D1F95" w:rsidP="0098602E">
      <w:pPr>
        <w:pStyle w:val="Akapitzlist"/>
        <w:numPr>
          <w:ilvl w:val="0"/>
          <w:numId w:val="16"/>
        </w:numPr>
        <w:jc w:val="both"/>
        <w:rPr>
          <w:szCs w:val="28"/>
        </w:rPr>
      </w:pPr>
      <w:r w:rsidRPr="006A6E77">
        <w:t>na studiach pierwszego stopnia praktyka zawodowa w module I - 16 pkt ECTS,</w:t>
      </w:r>
    </w:p>
    <w:p w:rsidR="008D56A2" w:rsidRPr="006A6E77" w:rsidRDefault="004D1F95" w:rsidP="0098602E">
      <w:pPr>
        <w:pStyle w:val="Akapitzlist"/>
        <w:numPr>
          <w:ilvl w:val="0"/>
          <w:numId w:val="16"/>
        </w:numPr>
        <w:jc w:val="both"/>
        <w:rPr>
          <w:szCs w:val="28"/>
        </w:rPr>
      </w:pPr>
      <w:r w:rsidRPr="006A6E77">
        <w:t>na studiach pierwszego stopnia praktyka zawodowa w module II – 8pkt ECTS</w:t>
      </w:r>
    </w:p>
    <w:p w:rsidR="0098602E" w:rsidRPr="006A6E77" w:rsidRDefault="004D1F95" w:rsidP="0098602E">
      <w:pPr>
        <w:pStyle w:val="Akapitzlist"/>
        <w:numPr>
          <w:ilvl w:val="0"/>
          <w:numId w:val="16"/>
        </w:numPr>
        <w:jc w:val="both"/>
        <w:rPr>
          <w:szCs w:val="28"/>
        </w:rPr>
      </w:pPr>
      <w:r w:rsidRPr="006A6E77">
        <w:t>na studiach drugiego stopnia praktyka kierunkowa - 12 pkt ECTS,</w:t>
      </w:r>
    </w:p>
    <w:p w:rsidR="00C94746" w:rsidRPr="006A6E77" w:rsidRDefault="004D1F95" w:rsidP="00C94746">
      <w:pPr>
        <w:pStyle w:val="Akapitzlist"/>
        <w:numPr>
          <w:ilvl w:val="0"/>
          <w:numId w:val="2"/>
        </w:numPr>
        <w:ind w:left="284" w:hanging="284"/>
        <w:jc w:val="both"/>
        <w:rPr>
          <w:szCs w:val="28"/>
        </w:rPr>
      </w:pPr>
      <w:r w:rsidRPr="006A6E77">
        <w:t>Pojęcia użyte w niniejszym regulaminie oznaczają:</w:t>
      </w:r>
    </w:p>
    <w:p w:rsidR="00C94746" w:rsidRPr="006A6E77" w:rsidRDefault="004D1F95" w:rsidP="00C94746">
      <w:pPr>
        <w:pStyle w:val="Akapitzlist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6A6E77">
        <w:rPr>
          <w:szCs w:val="28"/>
        </w:rPr>
        <w:t xml:space="preserve">koordynator praktyk - </w:t>
      </w:r>
      <w:r w:rsidRPr="006A6E77">
        <w:t>nauczyciel akademicki lub nauczyciele akademiccy wyznaczeni przez dziekana Wydziału Administracji i Nauk Społecznych odpowiadający za sprawy merytoryczne związane z odbywaniem praktyk i ich zaliczaniem, ze strony Uczelni,</w:t>
      </w:r>
    </w:p>
    <w:p w:rsidR="00C94746" w:rsidRPr="006A6E77" w:rsidRDefault="004D1F95" w:rsidP="00C94746">
      <w:pPr>
        <w:pStyle w:val="Akapitzlist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6A6E77">
        <w:t>opiekun praktyk – osoba odpowiadająca za sprawy merytoryczne związane z odbywaniem praktyk i ich zaliczaniem, ze strony instytucji, w której odbywana jest praktyka,</w:t>
      </w:r>
    </w:p>
    <w:p w:rsidR="00C94746" w:rsidRPr="006A6E77" w:rsidRDefault="004D1F95" w:rsidP="0041648D">
      <w:pPr>
        <w:pStyle w:val="Akapitzlist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6A6E77">
        <w:t>praktyka zawodowa- praktyka, która jest adekwatna do kierunku administracja,.</w:t>
      </w:r>
    </w:p>
    <w:p w:rsidR="00C94746" w:rsidRPr="006A6E77" w:rsidRDefault="00C94746" w:rsidP="00C94746">
      <w:pPr>
        <w:pStyle w:val="Akapitzlist"/>
        <w:tabs>
          <w:tab w:val="left" w:pos="0"/>
          <w:tab w:val="left" w:pos="284"/>
          <w:tab w:val="left" w:pos="426"/>
          <w:tab w:val="left" w:pos="851"/>
        </w:tabs>
        <w:ind w:left="284"/>
        <w:jc w:val="both"/>
        <w:rPr>
          <w:szCs w:val="28"/>
        </w:rPr>
      </w:pPr>
    </w:p>
    <w:p w:rsidR="00EB607B" w:rsidRPr="006A6E77" w:rsidRDefault="00EB607B" w:rsidP="00C94746">
      <w:pPr>
        <w:pStyle w:val="Nagwek3"/>
        <w:rPr>
          <w:u w:val="none"/>
        </w:rPr>
      </w:pPr>
    </w:p>
    <w:p w:rsidR="00C94746" w:rsidRPr="006A6E77" w:rsidRDefault="004D1F95" w:rsidP="00C94746">
      <w:pPr>
        <w:pStyle w:val="Nagwek3"/>
      </w:pPr>
      <w:r w:rsidRPr="006A6E77">
        <w:rPr>
          <w:u w:val="none"/>
        </w:rPr>
        <w:t>Cele praktyk</w:t>
      </w:r>
    </w:p>
    <w:p w:rsidR="00C94746" w:rsidRPr="006A6E77" w:rsidRDefault="00C94746" w:rsidP="00C94746">
      <w:pPr>
        <w:jc w:val="both"/>
        <w:rPr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2</w:t>
      </w:r>
    </w:p>
    <w:p w:rsidR="0041648D" w:rsidRPr="006A6E77" w:rsidRDefault="004D1F95" w:rsidP="0041648D">
      <w:pPr>
        <w:pStyle w:val="Akapitzlist"/>
        <w:numPr>
          <w:ilvl w:val="0"/>
          <w:numId w:val="5"/>
        </w:numPr>
        <w:jc w:val="both"/>
      </w:pPr>
      <w:r w:rsidRPr="006A6E77">
        <w:t xml:space="preserve">Głównym celem praktyki zawodowej jest aktywizacja zawodowa poprzez wykorzystanie w praktyce wiedzy zdobytej w toku studiów na kierunku </w:t>
      </w:r>
      <w:r w:rsidRPr="006A6E77">
        <w:rPr>
          <w:szCs w:val="28"/>
        </w:rPr>
        <w:t xml:space="preserve">administracja </w:t>
      </w:r>
      <w:r w:rsidRPr="006A6E77">
        <w:t xml:space="preserve">oraz jej uzupełnienie o treści dotyczące  funkcjonowania podmiotu wskazanego jako pożądane miejsce praktyki. Celem praktyki jest również włączenie się praktykanta w proces </w:t>
      </w:r>
      <w:r w:rsidRPr="006A6E77">
        <w:lastRenderedPageBreak/>
        <w:t>funkcjonowania danej instytucji oraz doskonalenie umiejętności praktycznych i poszerzanie kompetencji zawodowych, rozpoznanie tych kompetencji na rynku pracy.</w:t>
      </w:r>
    </w:p>
    <w:p w:rsidR="0041648D" w:rsidRPr="006A6E77" w:rsidRDefault="004D1F95" w:rsidP="0041648D">
      <w:pPr>
        <w:pStyle w:val="Akapitzlist"/>
        <w:numPr>
          <w:ilvl w:val="0"/>
          <w:numId w:val="5"/>
        </w:numPr>
        <w:jc w:val="both"/>
      </w:pPr>
      <w:r w:rsidRPr="006A6E77">
        <w:rPr>
          <w:szCs w:val="28"/>
        </w:rPr>
        <w:t>Szczegółowe cele praktyki zawierają</w:t>
      </w:r>
      <w:r w:rsidR="00E511A8" w:rsidRPr="006A6E77">
        <w:rPr>
          <w:szCs w:val="28"/>
        </w:rPr>
        <w:t xml:space="preserve">: </w:t>
      </w:r>
      <w:r w:rsidRPr="006A6E77">
        <w:rPr>
          <w:szCs w:val="28"/>
        </w:rPr>
        <w:t>program studiów</w:t>
      </w:r>
      <w:r w:rsidR="0041648D" w:rsidRPr="006A6E77">
        <w:rPr>
          <w:szCs w:val="28"/>
        </w:rPr>
        <w:t>, sylabus oraz dziennik praktyk.</w:t>
      </w:r>
    </w:p>
    <w:p w:rsidR="0041648D" w:rsidRPr="006A6E77" w:rsidRDefault="0041648D" w:rsidP="0041648D">
      <w:pPr>
        <w:rPr>
          <w:b/>
          <w:szCs w:val="28"/>
        </w:rPr>
      </w:pPr>
    </w:p>
    <w:p w:rsidR="008D56A2" w:rsidRPr="006A6E77" w:rsidRDefault="008D56A2" w:rsidP="008D56A2">
      <w:pPr>
        <w:pStyle w:val="Akapitzlist"/>
        <w:ind w:left="360"/>
        <w:jc w:val="both"/>
        <w:rPr>
          <w:szCs w:val="28"/>
        </w:rPr>
      </w:pPr>
    </w:p>
    <w:p w:rsidR="00C94746" w:rsidRPr="006A6E77" w:rsidRDefault="004D1F95" w:rsidP="00C94746">
      <w:pPr>
        <w:jc w:val="center"/>
        <w:rPr>
          <w:b/>
          <w:szCs w:val="28"/>
        </w:rPr>
      </w:pPr>
      <w:r w:rsidRPr="006A6E77">
        <w:rPr>
          <w:b/>
          <w:szCs w:val="28"/>
        </w:rPr>
        <w:t>Program praktyk</w:t>
      </w:r>
    </w:p>
    <w:p w:rsidR="00C94746" w:rsidRPr="006A6E77" w:rsidRDefault="00C94746" w:rsidP="00C94746">
      <w:pPr>
        <w:jc w:val="center"/>
        <w:rPr>
          <w:b/>
          <w:bCs/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3</w:t>
      </w:r>
    </w:p>
    <w:p w:rsidR="00C94746" w:rsidRPr="006A6E77" w:rsidRDefault="004D1F95" w:rsidP="00C94746">
      <w:pPr>
        <w:pStyle w:val="Akapitzlist"/>
        <w:numPr>
          <w:ilvl w:val="0"/>
          <w:numId w:val="6"/>
        </w:numPr>
        <w:jc w:val="both"/>
        <w:rPr>
          <w:szCs w:val="28"/>
        </w:rPr>
      </w:pPr>
      <w:r w:rsidRPr="006A6E77">
        <w:rPr>
          <w:szCs w:val="28"/>
        </w:rPr>
        <w:t>Praktyki realizowane są w oparciu o program, zgodny ze stopniem studiów i kierunkiem administracja.</w:t>
      </w:r>
    </w:p>
    <w:p w:rsidR="00C94746" w:rsidRPr="006A6E77" w:rsidRDefault="004D1F95" w:rsidP="00C94746">
      <w:pPr>
        <w:pStyle w:val="Akapitzlist"/>
        <w:numPr>
          <w:ilvl w:val="0"/>
          <w:numId w:val="6"/>
        </w:numPr>
        <w:jc w:val="both"/>
        <w:rPr>
          <w:szCs w:val="28"/>
        </w:rPr>
      </w:pPr>
      <w:r w:rsidRPr="006A6E77">
        <w:rPr>
          <w:szCs w:val="28"/>
        </w:rPr>
        <w:t>Programy określają m.in.: miejsce praktyki, jej cele, treści oraz efekty uczenia się, jakie student musi osiągnąć, obowiązki studenta, obowiązki koordynatora z ramienia EUH-E, obowiązki instytucji przyjmującej studenta na praktykę, sposób zaliczenia praktyki.</w:t>
      </w:r>
    </w:p>
    <w:p w:rsidR="00C94746" w:rsidRPr="006A6E77" w:rsidRDefault="004D1F95" w:rsidP="00C94746">
      <w:pPr>
        <w:pStyle w:val="Akapitzlist"/>
        <w:numPr>
          <w:ilvl w:val="0"/>
          <w:numId w:val="6"/>
        </w:numPr>
        <w:jc w:val="both"/>
        <w:rPr>
          <w:szCs w:val="28"/>
        </w:rPr>
      </w:pPr>
      <w:r w:rsidRPr="006A6E77">
        <w:rPr>
          <w:szCs w:val="28"/>
        </w:rPr>
        <w:t xml:space="preserve">Szczegółowe zasady </w:t>
      </w:r>
      <w:r w:rsidRPr="006A6E77">
        <w:t>odbywania i zaliczania praktyk zawodowej na studiach pierwszego i drugiego stopnia zawarte są we właściwych sylabusach.</w:t>
      </w:r>
    </w:p>
    <w:p w:rsidR="00C94746" w:rsidRPr="006A6E77" w:rsidRDefault="00C94746" w:rsidP="00C94746">
      <w:pPr>
        <w:pStyle w:val="Akapitzlist"/>
        <w:tabs>
          <w:tab w:val="left" w:pos="0"/>
          <w:tab w:val="left" w:pos="284"/>
          <w:tab w:val="left" w:pos="426"/>
          <w:tab w:val="left" w:pos="851"/>
        </w:tabs>
        <w:ind w:left="284"/>
        <w:jc w:val="both"/>
        <w:rPr>
          <w:szCs w:val="28"/>
        </w:rPr>
      </w:pPr>
    </w:p>
    <w:p w:rsidR="00C94746" w:rsidRPr="006A6E77" w:rsidRDefault="00C94746" w:rsidP="00C94746">
      <w:pPr>
        <w:pStyle w:val="Akapitzlist"/>
        <w:tabs>
          <w:tab w:val="left" w:pos="0"/>
          <w:tab w:val="left" w:pos="284"/>
          <w:tab w:val="left" w:pos="426"/>
          <w:tab w:val="left" w:pos="851"/>
        </w:tabs>
        <w:ind w:left="284"/>
        <w:jc w:val="both"/>
        <w:rPr>
          <w:szCs w:val="28"/>
        </w:rPr>
      </w:pPr>
    </w:p>
    <w:p w:rsidR="00C94746" w:rsidRPr="006A6E77" w:rsidRDefault="004D1F95" w:rsidP="00C94746">
      <w:pPr>
        <w:shd w:val="clear" w:color="auto" w:fill="FFFFFD"/>
        <w:tabs>
          <w:tab w:val="left" w:pos="180"/>
        </w:tabs>
        <w:jc w:val="center"/>
        <w:rPr>
          <w:b/>
          <w:bCs/>
        </w:rPr>
      </w:pPr>
      <w:r w:rsidRPr="006A6E77">
        <w:rPr>
          <w:b/>
          <w:bCs/>
        </w:rPr>
        <w:t>Organizacja i przebieg praktyk</w:t>
      </w:r>
    </w:p>
    <w:p w:rsidR="00C94746" w:rsidRPr="006A6E77" w:rsidRDefault="00C94746" w:rsidP="00C94746">
      <w:pPr>
        <w:jc w:val="center"/>
        <w:rPr>
          <w:b/>
          <w:bCs/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4</w:t>
      </w:r>
    </w:p>
    <w:p w:rsidR="00C94746" w:rsidRPr="006A6E77" w:rsidRDefault="004D1F95" w:rsidP="00C94746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t>Za sprawy merytoryczne związane z odbywaniem praktyk i ich zaliczaniem odpowiadają opiekunowie praktyk i koordynatorzy praktyk.</w:t>
      </w:r>
    </w:p>
    <w:p w:rsidR="00B8587E" w:rsidRPr="006A6E77" w:rsidRDefault="004D1F95" w:rsidP="00B8587E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rPr>
          <w:szCs w:val="28"/>
        </w:rPr>
        <w:t>Podstawowe informacje związane z odbywaniem praktyk podawane są do wiadomości studentów pod koniec semestru poprzedzającego semestr, w którym następuje rozpoczęcie praktyki.</w:t>
      </w:r>
    </w:p>
    <w:p w:rsidR="0008180B" w:rsidRPr="006A6E77" w:rsidRDefault="004D1F95" w:rsidP="00B8587E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t>Praktyki zawodowe studenci muszą odbywać w</w:t>
      </w:r>
      <w:r w:rsidR="00B8587E" w:rsidRPr="006A6E77">
        <w:t xml:space="preserve"> instytucjach o profilu zgodnym </w:t>
      </w:r>
      <w:r w:rsidRPr="006A6E77">
        <w:t xml:space="preserve">z charakterem studiów (zwane dalej „instytucje”). </w:t>
      </w:r>
      <w:r w:rsidRPr="006A6E77">
        <w:rPr>
          <w:szCs w:val="28"/>
        </w:rPr>
        <w:t>Praktyki mogą być odbywane odpowiednio w:</w:t>
      </w:r>
    </w:p>
    <w:p w:rsidR="0008180B" w:rsidRPr="006A6E77" w:rsidRDefault="004D1F95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 xml:space="preserve">jednostkach organizacyjnych sektora publicznego: instytucjach administracji centralnej, rządowej i samorządowej, administracji zespolonej i niezespolonej, pionach administracji organizacji biznesowych; </w:t>
      </w:r>
    </w:p>
    <w:p w:rsidR="0008180B" w:rsidRPr="006A6E77" w:rsidRDefault="004D1F95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jednostkach organizacyjnych sektora publicznego odpowiedzialnych za bezpieczeństwo wewnętrzne i zewnętrzne;</w:t>
      </w:r>
    </w:p>
    <w:p w:rsidR="0008180B" w:rsidRPr="006A6E77" w:rsidRDefault="00B8587E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organach</w:t>
      </w:r>
      <w:r w:rsidR="004D1F95" w:rsidRPr="006A6E77">
        <w:t xml:space="preserve"> służb, inspekcji i straży:</w:t>
      </w:r>
    </w:p>
    <w:p w:rsidR="0008180B" w:rsidRPr="006A6E77" w:rsidRDefault="00B8587E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instytucjach</w:t>
      </w:r>
      <w:r w:rsidR="004D1F95" w:rsidRPr="006A6E77">
        <w:t xml:space="preserve"> sektora finansów publicznych lub niepublicznych (w tym prywatnych);</w:t>
      </w:r>
    </w:p>
    <w:p w:rsidR="0008180B" w:rsidRPr="006A6E77" w:rsidRDefault="00B8587E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sądach i trybunałach</w:t>
      </w:r>
      <w:r w:rsidR="004D1F95" w:rsidRPr="006A6E77">
        <w:t>;</w:t>
      </w:r>
    </w:p>
    <w:p w:rsidR="0008180B" w:rsidRPr="006A6E77" w:rsidRDefault="00B8587E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organach</w:t>
      </w:r>
      <w:r w:rsidR="004D1F95" w:rsidRPr="006A6E77">
        <w:t xml:space="preserve"> kontroli państwowej;</w:t>
      </w:r>
    </w:p>
    <w:p w:rsidR="0008180B" w:rsidRPr="006A6E77" w:rsidRDefault="00B8587E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prokuraturze</w:t>
      </w:r>
      <w:r w:rsidR="004D1F95" w:rsidRPr="006A6E77">
        <w:t>;</w:t>
      </w:r>
    </w:p>
    <w:p w:rsidR="0008180B" w:rsidRPr="006A6E77" w:rsidRDefault="004D1F95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>przedsiębior</w:t>
      </w:r>
      <w:r w:rsidR="00B8587E" w:rsidRPr="006A6E77">
        <w:t>stwach państwowych, samorządowych oraz prywatnych</w:t>
      </w:r>
      <w:r w:rsidRPr="006A6E77">
        <w:t>;</w:t>
      </w:r>
    </w:p>
    <w:p w:rsidR="0008180B" w:rsidRPr="006A6E77" w:rsidRDefault="004D1F95" w:rsidP="003A3202">
      <w:pPr>
        <w:numPr>
          <w:ilvl w:val="0"/>
          <w:numId w:val="4"/>
        </w:numPr>
        <w:tabs>
          <w:tab w:val="clear" w:pos="1080"/>
          <w:tab w:val="num" w:pos="284"/>
        </w:tabs>
        <w:ind w:left="284" w:hanging="283"/>
        <w:jc w:val="both"/>
      </w:pPr>
      <w:r w:rsidRPr="006A6E77">
        <w:t xml:space="preserve">jednostkach organizacyjnych sektora biznesu oraz innych organizacjach pozwalających zrealizować cele praktyki. </w:t>
      </w:r>
    </w:p>
    <w:p w:rsidR="00C94746" w:rsidRPr="006A6E77" w:rsidRDefault="004D1F95" w:rsidP="00C94746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t>Student może odbywać praktykę w ciągu całego cyklu kształcenia (studia pierwszego stopnia i studia drugiego stopnia) w kilku podmiotach.</w:t>
      </w:r>
    </w:p>
    <w:p w:rsidR="003316BF" w:rsidRPr="006A6E77" w:rsidRDefault="004D1F95" w:rsidP="003316BF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t>Student jest zobowiązany zaproponować miejsce odbywania praktyki. W przypadku, gdy student nie może wskazać miejsca odbywania praktyki, składa wniosek do prodziekana o zorganizowanie praktyki przez Uczelnię. Prodziekan wskazuje studentowi miejsce i określa termin odbywania praktyki. Student jest zobowiązany do pokrycia kosztów organizacyjnych w wysokości określonej zarządzeniem Rektora EUH-E.</w:t>
      </w:r>
    </w:p>
    <w:p w:rsidR="00C94746" w:rsidRPr="006A6E77" w:rsidRDefault="004D1F95" w:rsidP="003316BF">
      <w:pPr>
        <w:pStyle w:val="Akapitzlist"/>
        <w:numPr>
          <w:ilvl w:val="0"/>
          <w:numId w:val="10"/>
        </w:numPr>
        <w:ind w:left="284" w:hanging="284"/>
        <w:jc w:val="both"/>
        <w:rPr>
          <w:szCs w:val="28"/>
        </w:rPr>
      </w:pPr>
      <w:r w:rsidRPr="006A6E77">
        <w:rPr>
          <w:szCs w:val="28"/>
        </w:rPr>
        <w:t xml:space="preserve">Warunkiem dopuszczenia do odbywania praktyk jest posiadanie przez studenta aktualnego ubezpieczenia NNW (następstw nieszczęśliwych wypadków) i OC (odpowiedzialności </w:t>
      </w:r>
      <w:r w:rsidRPr="006A6E77">
        <w:rPr>
          <w:szCs w:val="28"/>
        </w:rPr>
        <w:lastRenderedPageBreak/>
        <w:t>cywilnej za czynności studenta podejmowane w ramach praktyk). Studenci odbywający praktyki zawodowe są zobligowani do posiadania wyżej wymienionych ubezpieczeń oraz przedłożenia dokumentu poświadczającego ich posiadanie koordynatorowi praktyk, a na żądanie instytucji przyjmującej studenta do odbycia p</w:t>
      </w:r>
      <w:r w:rsidR="00B8587E" w:rsidRPr="006A6E77">
        <w:rPr>
          <w:szCs w:val="28"/>
        </w:rPr>
        <w:t xml:space="preserve">raktyk - także tej instytucji. </w:t>
      </w:r>
      <w:r w:rsidRPr="006A6E77">
        <w:rPr>
          <w:szCs w:val="28"/>
        </w:rPr>
        <w:t>Student zawiera umowę ubezpieczenia na własny koszt.</w:t>
      </w:r>
    </w:p>
    <w:p w:rsidR="00536504" w:rsidRPr="006A6E77" w:rsidRDefault="00536504">
      <w:pPr>
        <w:pStyle w:val="Akapitzlist"/>
        <w:tabs>
          <w:tab w:val="left" w:pos="0"/>
          <w:tab w:val="left" w:pos="284"/>
          <w:tab w:val="left" w:pos="426"/>
          <w:tab w:val="left" w:pos="851"/>
        </w:tabs>
        <w:ind w:left="284"/>
        <w:jc w:val="both"/>
        <w:rPr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5</w:t>
      </w:r>
    </w:p>
    <w:p w:rsidR="0008180B" w:rsidRPr="006A6E77" w:rsidRDefault="004D1F95" w:rsidP="0008180B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A6E77">
        <w:rPr>
          <w:b/>
          <w:szCs w:val="28"/>
          <w:u w:val="single"/>
        </w:rPr>
        <w:t>Przed odbyciem praktyk</w:t>
      </w:r>
      <w:r w:rsidRPr="006A6E77">
        <w:rPr>
          <w:szCs w:val="28"/>
        </w:rPr>
        <w:t xml:space="preserve"> student składa do koordynatora praktyk:</w:t>
      </w:r>
    </w:p>
    <w:p w:rsidR="0008180B" w:rsidRPr="006A6E77" w:rsidRDefault="004D1F95" w:rsidP="0008180B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6A6E77">
        <w:rPr>
          <w:b/>
          <w:szCs w:val="28"/>
        </w:rPr>
        <w:t xml:space="preserve">zatwierdzenie </w:t>
      </w:r>
      <w:r w:rsidRPr="006A6E77">
        <w:rPr>
          <w:b/>
        </w:rPr>
        <w:t>miejsca i zakresu praktyk</w:t>
      </w:r>
      <w:r w:rsidRPr="006A6E77">
        <w:t xml:space="preserve"> (załącznik nr 1)</w:t>
      </w:r>
    </w:p>
    <w:p w:rsidR="0008180B" w:rsidRPr="006A6E77" w:rsidRDefault="004D1F95" w:rsidP="0008180B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6A6E77">
        <w:rPr>
          <w:b/>
          <w:szCs w:val="28"/>
        </w:rPr>
        <w:t xml:space="preserve">dokument poświadczający posiadanie </w:t>
      </w:r>
      <w:r w:rsidRPr="006A6E77">
        <w:rPr>
          <w:b/>
        </w:rPr>
        <w:t>ubezpieczenia</w:t>
      </w:r>
      <w:r w:rsidRPr="006A6E77">
        <w:t xml:space="preserve"> od następstw nieszczęśliwych wypadków (ubezpieczenie NNW) oraz od odpowiedzialności cywilnej </w:t>
      </w:r>
      <w:r w:rsidRPr="006A6E77">
        <w:rPr>
          <w:szCs w:val="28"/>
        </w:rPr>
        <w:t>za czynności studenta podejmowane w ramach praktyk</w:t>
      </w:r>
      <w:r w:rsidRPr="006A6E77">
        <w:t xml:space="preserve"> (ubezpieczenie OC).</w:t>
      </w:r>
    </w:p>
    <w:p w:rsidR="0008180B" w:rsidRPr="006A6E77" w:rsidRDefault="004D1F95" w:rsidP="0008180B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A6E77">
        <w:rPr>
          <w:szCs w:val="28"/>
        </w:rPr>
        <w:t>Koordynator praktyk stwierdza posiadanie ubezpieczenia NNW i OC przez studenta oraz zatwierdza miejsce i zakres praktyk.</w:t>
      </w:r>
    </w:p>
    <w:p w:rsidR="0008180B" w:rsidRPr="006A6E77" w:rsidRDefault="004D1F95" w:rsidP="0008180B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A6E77">
        <w:rPr>
          <w:szCs w:val="28"/>
        </w:rPr>
        <w:t xml:space="preserve">Po zatwierdzeniu przez koordynatora praktyk </w:t>
      </w:r>
      <w:r w:rsidRPr="006A6E77">
        <w:t xml:space="preserve">miejsca i zakresu praktyk oraz posiadania przez studenta ubezpieczenia NNW i OC, student wypełnia </w:t>
      </w:r>
      <w:r w:rsidRPr="006A6E77">
        <w:rPr>
          <w:b/>
        </w:rPr>
        <w:t>umowę o organizację obowiązkowej praktyki zawodowej studentów Elbląskiej Uczelni Humanistyczno- Ekonomicznej w Elblągu (załącznik nr 2)</w:t>
      </w:r>
      <w:r w:rsidRPr="006A6E77">
        <w:t xml:space="preserve"> i przedstawia do podpisu właściwemu  prodziekanowi Wydziału Administracji i Nauk Społecznych, który akceptuje i podpisuje umowę w imieniu Uczelni.</w:t>
      </w:r>
    </w:p>
    <w:p w:rsidR="0008180B" w:rsidRPr="006A6E77" w:rsidRDefault="004D1F95" w:rsidP="0008180B">
      <w:pPr>
        <w:pStyle w:val="Akapitzlist"/>
        <w:numPr>
          <w:ilvl w:val="0"/>
          <w:numId w:val="11"/>
        </w:numPr>
        <w:tabs>
          <w:tab w:val="left" w:pos="426"/>
        </w:tabs>
        <w:ind w:left="284" w:hanging="284"/>
        <w:jc w:val="both"/>
      </w:pPr>
      <w:r w:rsidRPr="006A6E77">
        <w:t>Dokumenty niezbędne do</w:t>
      </w:r>
      <w:r w:rsidR="003316BF" w:rsidRPr="006A6E77">
        <w:t xml:space="preserve"> </w:t>
      </w:r>
      <w:r w:rsidRPr="006A6E77">
        <w:t>odbycia praktyk studenci powinni przekazać koordynatorowi praktyk co najmniej na 2 tygodnie przed rozpoczęciem praktyki.</w:t>
      </w:r>
    </w:p>
    <w:p w:rsidR="009C5223" w:rsidRPr="006A6E77" w:rsidRDefault="009C5223" w:rsidP="00C9474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6</w:t>
      </w:r>
    </w:p>
    <w:p w:rsidR="00C94746" w:rsidRPr="006A6E77" w:rsidRDefault="004D1F95" w:rsidP="00C94746">
      <w:pPr>
        <w:tabs>
          <w:tab w:val="left" w:pos="426"/>
        </w:tabs>
        <w:jc w:val="both"/>
      </w:pPr>
      <w:r w:rsidRPr="006A6E77">
        <w:rPr>
          <w:b/>
          <w:szCs w:val="28"/>
          <w:u w:val="single"/>
        </w:rPr>
        <w:t>Po odbyciu praktyk</w:t>
      </w:r>
      <w:r w:rsidRPr="006A6E77">
        <w:rPr>
          <w:szCs w:val="28"/>
        </w:rPr>
        <w:t xml:space="preserve"> student składa do koordynatora praktyk:</w:t>
      </w:r>
    </w:p>
    <w:p w:rsidR="00873E89" w:rsidRPr="006A6E77" w:rsidRDefault="004D1F95" w:rsidP="009409E8">
      <w:pPr>
        <w:pStyle w:val="Akapitzlist"/>
        <w:numPr>
          <w:ilvl w:val="0"/>
          <w:numId w:val="13"/>
        </w:numPr>
        <w:ind w:left="426" w:right="48"/>
        <w:jc w:val="both"/>
      </w:pPr>
      <w:r w:rsidRPr="006A6E77">
        <w:t xml:space="preserve">dziennik praktyk </w:t>
      </w:r>
    </w:p>
    <w:p w:rsidR="00873E89" w:rsidRPr="006A6E77" w:rsidRDefault="004D1F95" w:rsidP="009409E8">
      <w:pPr>
        <w:pStyle w:val="Akapitzlist"/>
        <w:numPr>
          <w:ilvl w:val="0"/>
          <w:numId w:val="18"/>
        </w:numPr>
        <w:ind w:left="567" w:right="48" w:hanging="284"/>
        <w:jc w:val="both"/>
      </w:pPr>
      <w:r w:rsidRPr="006A6E77">
        <w:t>wzór dziennika praktyki zawodowej w module I</w:t>
      </w:r>
      <w:r w:rsidR="00B8587E" w:rsidRPr="006A6E77">
        <w:t xml:space="preserve"> </w:t>
      </w:r>
      <w:r w:rsidRPr="006A6E77">
        <w:t>na studiach pierwszego stopnia stanowi załącznik nr 3 lub;</w:t>
      </w:r>
    </w:p>
    <w:p w:rsidR="00C94746" w:rsidRPr="006A6E77" w:rsidRDefault="004D1F95" w:rsidP="009409E8">
      <w:pPr>
        <w:pStyle w:val="Akapitzlist"/>
        <w:numPr>
          <w:ilvl w:val="0"/>
          <w:numId w:val="18"/>
        </w:numPr>
        <w:ind w:left="567" w:right="48" w:hanging="284"/>
        <w:jc w:val="both"/>
      </w:pPr>
      <w:r w:rsidRPr="006A6E77">
        <w:t xml:space="preserve">wzór dziennika praktyki zawodowej w module II </w:t>
      </w:r>
      <w:r w:rsidR="00B8587E" w:rsidRPr="006A6E77">
        <w:t xml:space="preserve">na studiach </w:t>
      </w:r>
      <w:r w:rsidRPr="006A6E77">
        <w:t>pierwszego stopnia stanowi załącznik nr 4</w:t>
      </w:r>
      <w:r w:rsidR="00B8587E" w:rsidRPr="006A6E77">
        <w:t xml:space="preserve"> </w:t>
      </w:r>
      <w:r w:rsidRPr="006A6E77">
        <w:t>lub,</w:t>
      </w:r>
    </w:p>
    <w:p w:rsidR="00873E89" w:rsidRPr="006A6E77" w:rsidRDefault="004D1F95" w:rsidP="009409E8">
      <w:pPr>
        <w:pStyle w:val="Akapitzlist"/>
        <w:numPr>
          <w:ilvl w:val="0"/>
          <w:numId w:val="18"/>
        </w:numPr>
        <w:ind w:left="567" w:right="48" w:hanging="284"/>
        <w:jc w:val="both"/>
      </w:pPr>
      <w:r w:rsidRPr="006A6E77">
        <w:t>wzór dziennika praktyki zawodowej na studiach drugiego stopnia stanowi załącznik nr 5, oraz</w:t>
      </w:r>
    </w:p>
    <w:p w:rsidR="00C94746" w:rsidRPr="006A6E77" w:rsidRDefault="004D1F95" w:rsidP="009409E8">
      <w:pPr>
        <w:pStyle w:val="Akapitzlist"/>
        <w:numPr>
          <w:ilvl w:val="0"/>
          <w:numId w:val="13"/>
        </w:numPr>
        <w:ind w:left="426" w:right="48"/>
      </w:pPr>
      <w:r w:rsidRPr="006A6E77">
        <w:t>zaświadczenie o zrealizowanej praktyce zawodowej (załącznik nr 6).</w:t>
      </w:r>
    </w:p>
    <w:p w:rsidR="00C94746" w:rsidRPr="006A6E77" w:rsidRDefault="00C94746" w:rsidP="00C9474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9C5223" w:rsidRPr="006A6E77" w:rsidRDefault="009C5223" w:rsidP="00C9474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7</w:t>
      </w:r>
    </w:p>
    <w:p w:rsidR="003C3144" w:rsidRPr="006A6E77" w:rsidRDefault="004D1F95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 xml:space="preserve">Studenci mogą ubiegać się </w:t>
      </w:r>
      <w:r w:rsidRPr="006A6E77">
        <w:rPr>
          <w:b/>
          <w:u w:val="single"/>
        </w:rPr>
        <w:t xml:space="preserve">o potwierdzenie w całości lub w części efektów uczenia się zdobytych w systemie zorganizowanym instytucjonalnie poza systemem studiów </w:t>
      </w:r>
      <w:r w:rsidRPr="006A6E77">
        <w:t>odpowiadających efektom uczenia się przypisanym praktyce zawodowej na podstawie udokumentowanej aktywności zawodowej w kraju lub za granicą zgodnej z profilem kształcenia na kierunku studiów.</w:t>
      </w:r>
    </w:p>
    <w:p w:rsidR="003C3144" w:rsidRPr="006A6E77" w:rsidRDefault="003C3144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 xml:space="preserve">Praktykę zawodową można uznać za zaliczoną w całości, jeżeli prowadzona przez studenta </w:t>
      </w:r>
      <w:r w:rsidR="004D1F95" w:rsidRPr="006A6E77">
        <w:t>przez</w:t>
      </w:r>
      <w:r w:rsidR="00A407BF" w:rsidRPr="006A6E77">
        <w:t xml:space="preserve"> co najmniej</w:t>
      </w:r>
      <w:r w:rsidR="004D1F95" w:rsidRPr="006A6E77">
        <w:t xml:space="preserve"> 1 rok </w:t>
      </w:r>
      <w:r w:rsidRPr="006A6E77">
        <w:t>działalność zawodowa umożliwiła mu osiągnięcie efektów uczenia się zawartych w programie praktyki obowiązującej dla danego kierunku, poziomu i profilu</w:t>
      </w:r>
      <w:r w:rsidR="004D1F95" w:rsidRPr="006A6E77">
        <w:t xml:space="preserve"> studiów. </w:t>
      </w:r>
    </w:p>
    <w:p w:rsidR="00321584" w:rsidRPr="006A6E77" w:rsidRDefault="004D1F95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>Za powyższą działalnością zawodową uznaje się:</w:t>
      </w:r>
    </w:p>
    <w:p w:rsidR="00321584" w:rsidRPr="006A6E77" w:rsidRDefault="003316BF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A6E77">
        <w:t>w</w:t>
      </w:r>
      <w:r w:rsidR="004D1F95" w:rsidRPr="006A6E77">
        <w:t>ykonywanie pracy podporządkowanej – umowa o pracę,</w:t>
      </w:r>
    </w:p>
    <w:p w:rsidR="00321584" w:rsidRPr="006A6E77" w:rsidRDefault="004D1F95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A6E77">
        <w:t>świadczenie pracy na podstawie umowy zlecenie lub umowy o dzieło,</w:t>
      </w:r>
    </w:p>
    <w:p w:rsidR="00321584" w:rsidRPr="006A6E77" w:rsidRDefault="004D1F95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 w:rsidRPr="006A6E77">
        <w:t>odbywanie odpłatnych lub nieodpłatnych staży zawodowych,</w:t>
      </w:r>
    </w:p>
    <w:p w:rsidR="00321584" w:rsidRPr="006A6E77" w:rsidRDefault="004D1F95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 w:rsidRPr="006A6E77">
        <w:t>prowadzenie własnej działalności gospodarczej, w tym z udziałem innych osób,</w:t>
      </w:r>
    </w:p>
    <w:p w:rsidR="00321584" w:rsidRPr="006A6E77" w:rsidRDefault="004D1F95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 w:rsidRPr="006A6E77">
        <w:lastRenderedPageBreak/>
        <w:t>wolontariat,</w:t>
      </w:r>
    </w:p>
    <w:p w:rsidR="00321584" w:rsidRPr="006A6E77" w:rsidRDefault="004D1F95" w:rsidP="0032158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 w:rsidRPr="006A6E77">
        <w:t>świadczenie pracy na innych podstawach prawnych.</w:t>
      </w:r>
    </w:p>
    <w:p w:rsidR="003C3144" w:rsidRPr="006A6E77" w:rsidRDefault="003C3144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 xml:space="preserve">Potwierdzenie efektów uczenia się następuje na pisemny </w:t>
      </w:r>
      <w:r w:rsidR="00A407BF" w:rsidRPr="006A6E77">
        <w:t>wniosek</w:t>
      </w:r>
      <w:r w:rsidR="004D1F95" w:rsidRPr="006A6E77">
        <w:t xml:space="preserve"> studenta skierowany do dziekana (załącznik nr 7) za pośrednictwem koordynatora praktyk.</w:t>
      </w:r>
    </w:p>
    <w:p w:rsidR="003C3144" w:rsidRPr="006A6E77" w:rsidRDefault="003C3144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>Do wniosku, o którym mowa w ust. 3 należy dołączyć:</w:t>
      </w:r>
    </w:p>
    <w:p w:rsidR="003C3144" w:rsidRPr="006A6E77" w:rsidRDefault="003C3144" w:rsidP="003C314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A6E77">
        <w:t xml:space="preserve">dokumentację poświadczającą </w:t>
      </w:r>
      <w:r w:rsidR="00A407BF" w:rsidRPr="006A6E77">
        <w:t>co najmniej ro</w:t>
      </w:r>
      <w:r w:rsidR="004D1F95" w:rsidRPr="006A6E77">
        <w:t>k</w:t>
      </w:r>
      <w:r w:rsidRPr="006A6E77">
        <w:t xml:space="preserve"> aktywności zawodowej (np. skierowanie na staż, decyzja o mianowaniu, umowa o pracę z zakładu pracy lub innej instytucji zatrudniającej</w:t>
      </w:r>
      <w:r w:rsidR="004D1F95" w:rsidRPr="006A6E77">
        <w:t>, zawierające informacje o okresie zatrudnienia, zajmowanym stanowisku, zaświadczenie o prowadzeniu działalności gospodarczej itp.); w przypadku zatrudnienia w kilku organizacjach do dokumentacji należy dołączyć wykaz tych organizacji i określić długość zatrudnienia.</w:t>
      </w:r>
    </w:p>
    <w:p w:rsidR="003C3144" w:rsidRPr="006A6E77" w:rsidRDefault="00A407BF" w:rsidP="003C314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A6E77">
        <w:t>szczegółowy</w:t>
      </w:r>
      <w:r w:rsidR="004D1F95" w:rsidRPr="006A6E77">
        <w:t xml:space="preserve"> wykaz czynności zawodowych (lub wykazy, jeśli student zmieniał pracodawcę lub stanowiska pracy),</w:t>
      </w:r>
    </w:p>
    <w:p w:rsidR="003C3144" w:rsidRPr="006A6E77" w:rsidRDefault="004D1F95" w:rsidP="003C314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A6E77">
        <w:t xml:space="preserve">pisemną charakterystykę organizacji, w której student zdobył doświadczenie zawodowe, </w:t>
      </w:r>
    </w:p>
    <w:p w:rsidR="003C3144" w:rsidRPr="006A6E77" w:rsidRDefault="004D1F95" w:rsidP="003C314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 w:rsidRPr="006A6E77">
        <w:t>graficzną prezentację struktury organizacji, w której student zdobył doświadczenie</w:t>
      </w:r>
      <w:r w:rsidR="003C3144" w:rsidRPr="006A6E77">
        <w:t xml:space="preserve"> zawodowe</w:t>
      </w:r>
      <w:r w:rsidR="007B35C2" w:rsidRPr="006A6E77">
        <w:t>,</w:t>
      </w:r>
      <w:r w:rsidRPr="006A6E77">
        <w:t xml:space="preserve"> ze wskazaniem swojego stanowiska (stanowisk) pracy.</w:t>
      </w:r>
    </w:p>
    <w:p w:rsidR="003C3144" w:rsidRPr="006A6E77" w:rsidRDefault="003C3144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 xml:space="preserve">Koordynator praktyk opiniuje wniosek </w:t>
      </w:r>
      <w:r w:rsidR="004D1F95" w:rsidRPr="006A6E77">
        <w:t>studenta o potwierdzenie w całości lub części efektów uczenia się po uprzednim zapoznaniu się z dokumentacją przedłożoną przez studenta i przeprowadzeniu egzaminu ustnego weryfikującego zakres zadań zawodowych wykazanych przez studenta.</w:t>
      </w:r>
    </w:p>
    <w:p w:rsidR="003C3144" w:rsidRPr="006A6E77" w:rsidRDefault="004D1F95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>Decyzję o potwierdzeniu efektów uczenia się zdobytych w systemie zorganizowanym instytucjonalnie poza systemem studiów odpowiadających efektom uczenia się przypisanym praktyce zawodowej w całości lub w części podejmuje dziekan po zasięgnięciu opinii  koordynatora praktyk.</w:t>
      </w:r>
    </w:p>
    <w:p w:rsidR="003C3144" w:rsidRPr="006A6E77" w:rsidRDefault="004D1F95" w:rsidP="003C314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6A6E77">
        <w:t>Przeprowadzanie potwierdzania efektów uczenia się w przypadku praktyk zawodowych jest nieodpłatne.</w:t>
      </w:r>
    </w:p>
    <w:p w:rsidR="00C94746" w:rsidRPr="006A6E77" w:rsidRDefault="00C94746" w:rsidP="00C94746">
      <w:pPr>
        <w:pStyle w:val="Akapitzlist"/>
        <w:autoSpaceDE w:val="0"/>
        <w:autoSpaceDN w:val="0"/>
        <w:adjustRightInd w:val="0"/>
        <w:ind w:left="284"/>
        <w:jc w:val="both"/>
      </w:pPr>
    </w:p>
    <w:p w:rsidR="009C5223" w:rsidRPr="006A6E77" w:rsidRDefault="009C5223" w:rsidP="00C94746">
      <w:pPr>
        <w:pStyle w:val="Akapitzlist"/>
        <w:autoSpaceDE w:val="0"/>
        <w:autoSpaceDN w:val="0"/>
        <w:adjustRightInd w:val="0"/>
        <w:ind w:left="284"/>
        <w:jc w:val="both"/>
      </w:pPr>
    </w:p>
    <w:p w:rsidR="00C94746" w:rsidRPr="006A6E77" w:rsidRDefault="00C94746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8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jc w:val="both"/>
      </w:pPr>
      <w:r w:rsidRPr="006A6E77">
        <w:rPr>
          <w:b/>
          <w:u w:val="single"/>
        </w:rPr>
        <w:t>Zaliczenie praktyki</w:t>
      </w:r>
      <w:r w:rsidRPr="006A6E77">
        <w:t xml:space="preserve"> zawodowej następuje w wyniku oceny dokonanej przez opiekuna praktyk z ramienia instytucji przyjmującej studenta na praktykę, studenta oraz przez koordynatora praktyk </w:t>
      </w:r>
      <w:bookmarkStart w:id="0" w:name="_GoBack"/>
      <w:bookmarkEnd w:id="0"/>
      <w:r w:rsidRPr="006A6E77">
        <w:t>z ramienia EUH-E i na podstawie zgromadzonej dokumentacji, którą  student jest zobowiązany dostarczyć opiekunowi praktyk i koordynatorowi praktyk oraz zaliczenia ustnego przeprowadzonego przez koordynatora praktyk.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jc w:val="both"/>
      </w:pPr>
      <w:r w:rsidRPr="006A6E77">
        <w:t xml:space="preserve">Koordynator praktyk ma prawo zaliczyć studentowi jedynie część praktyki, jeśli wykonywanie pracy i powierzonych obowiązków w trakcie praktyki trwała mniej niż </w:t>
      </w:r>
      <w:r w:rsidR="003316BF" w:rsidRPr="006A6E77">
        <w:t>6 miesięcy (600 godzin) w przypadku studiów I stopnia lub 3 miesięcy (</w:t>
      </w:r>
      <w:r w:rsidRPr="006A6E77">
        <w:t>300 godzin</w:t>
      </w:r>
      <w:r w:rsidR="003316BF" w:rsidRPr="006A6E77">
        <w:t>) w przypadku studiów II stopnia</w:t>
      </w:r>
      <w:r w:rsidRPr="006A6E77">
        <w:t xml:space="preserve">, bądź wykonywane przez studenta czynności zawodowe nie pokryły się ze wszystkimi efektami uczenia się, które należy osiągnąć w wyniku odbycia praktyki. 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jc w:val="both"/>
      </w:pPr>
      <w:r w:rsidRPr="006A6E77">
        <w:t>Ostatecznego zaliczenia praktyki dokonuje koordynator praktyk i odnotowuje to w dokumentacji dotyczącej przebiegu studiów.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</w:pPr>
      <w:r w:rsidRPr="006A6E77">
        <w:t>Sposób zaliczenia: zaliczenie z oceną.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spacing w:line="276" w:lineRule="auto"/>
        <w:jc w:val="both"/>
      </w:pPr>
      <w:r w:rsidRPr="006A6E77">
        <w:t xml:space="preserve">Formy zaliczenia: realizacja zleconych praktykantowi zadań zapewniających uzyskanie efektów uczenia się określonych w programie,  przedstawienie charakterystyki instytucji i struktury instytucji, w której  student odbywa praktykę, odpowiedź na dwa z </w:t>
      </w:r>
      <w:r w:rsidR="00523472" w:rsidRPr="006A6E77">
        <w:t xml:space="preserve">trzech pytań </w:t>
      </w:r>
      <w:r w:rsidRPr="006A6E77">
        <w:t>postawionych</w:t>
      </w:r>
      <w:r w:rsidR="007342CC" w:rsidRPr="006A6E77">
        <w:t xml:space="preserve"> </w:t>
      </w:r>
      <w:r w:rsidRPr="006A6E77">
        <w:t>przez koordynatora dotyczące realizowanych przez studenta zadań.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jc w:val="both"/>
      </w:pPr>
      <w:r w:rsidRPr="006A6E77">
        <w:t>Kryteria oceny i zaliczenia praktyk są określone w sylabusie i dzienniku praktyk.</w:t>
      </w:r>
    </w:p>
    <w:p w:rsidR="003C3144" w:rsidRPr="006A6E77" w:rsidRDefault="004D1F95" w:rsidP="003C3144">
      <w:pPr>
        <w:pStyle w:val="Akapitzlist"/>
        <w:numPr>
          <w:ilvl w:val="0"/>
          <w:numId w:val="7"/>
        </w:numPr>
        <w:jc w:val="both"/>
      </w:pPr>
      <w:r w:rsidRPr="006A6E77">
        <w:rPr>
          <w:szCs w:val="28"/>
        </w:rPr>
        <w:lastRenderedPageBreak/>
        <w:t>Dokumenty potwierdzające zaliczenie praktyki są archiwizowane w aktach osobowych  studenta.</w:t>
      </w:r>
    </w:p>
    <w:p w:rsidR="00C94746" w:rsidRPr="006A6E77" w:rsidRDefault="00C94746" w:rsidP="00C94746">
      <w:pPr>
        <w:tabs>
          <w:tab w:val="left" w:pos="0"/>
          <w:tab w:val="left" w:pos="284"/>
          <w:tab w:val="left" w:pos="426"/>
          <w:tab w:val="left" w:pos="851"/>
        </w:tabs>
        <w:jc w:val="both"/>
        <w:rPr>
          <w:szCs w:val="28"/>
        </w:rPr>
      </w:pPr>
    </w:p>
    <w:p w:rsidR="00063178" w:rsidRPr="006A6E77" w:rsidRDefault="00063178" w:rsidP="00C94746">
      <w:pPr>
        <w:jc w:val="center"/>
        <w:rPr>
          <w:b/>
          <w:bCs/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9</w:t>
      </w:r>
    </w:p>
    <w:p w:rsidR="003C3144" w:rsidRPr="006A6E77" w:rsidRDefault="004D1F95" w:rsidP="003C3144">
      <w:pPr>
        <w:jc w:val="both"/>
        <w:rPr>
          <w:szCs w:val="28"/>
        </w:rPr>
      </w:pPr>
      <w:r w:rsidRPr="006A6E77">
        <w:rPr>
          <w:szCs w:val="28"/>
        </w:rPr>
        <w:t>Praktyki podlegają hospitacji</w:t>
      </w:r>
      <w:r w:rsidRPr="006A6E77">
        <w:t>. Wzór arkusza hospitacji praktyki studenckiej stanowi załącznik nr 8.</w:t>
      </w:r>
    </w:p>
    <w:p w:rsidR="00EB607B" w:rsidRPr="006A6E77" w:rsidRDefault="00EB607B" w:rsidP="00C94746">
      <w:pPr>
        <w:pStyle w:val="Nagwek5"/>
        <w:rPr>
          <w:color w:val="auto"/>
        </w:rPr>
      </w:pPr>
    </w:p>
    <w:p w:rsidR="00C94746" w:rsidRPr="006A6E77" w:rsidRDefault="004D1F95" w:rsidP="00C94746">
      <w:pPr>
        <w:pStyle w:val="Nagwek5"/>
        <w:rPr>
          <w:color w:val="auto"/>
        </w:rPr>
      </w:pPr>
      <w:r w:rsidRPr="006A6E77">
        <w:rPr>
          <w:color w:val="auto"/>
        </w:rPr>
        <w:t>Postanowienia końcowe</w:t>
      </w:r>
    </w:p>
    <w:p w:rsidR="00C94746" w:rsidRPr="006A6E77" w:rsidRDefault="00C94746" w:rsidP="00C94746">
      <w:pPr>
        <w:jc w:val="center"/>
        <w:rPr>
          <w:b/>
          <w:bCs/>
          <w:szCs w:val="28"/>
        </w:rPr>
      </w:pPr>
    </w:p>
    <w:p w:rsidR="00C94746" w:rsidRPr="006A6E77" w:rsidRDefault="004D1F95" w:rsidP="00C94746">
      <w:pPr>
        <w:jc w:val="center"/>
        <w:rPr>
          <w:b/>
          <w:bCs/>
          <w:szCs w:val="28"/>
        </w:rPr>
      </w:pPr>
      <w:r w:rsidRPr="006A6E77">
        <w:rPr>
          <w:b/>
          <w:bCs/>
          <w:szCs w:val="28"/>
        </w:rPr>
        <w:t>§ 10</w:t>
      </w:r>
    </w:p>
    <w:p w:rsidR="00A1591C" w:rsidRPr="006A6E77" w:rsidRDefault="00A1591C" w:rsidP="00A1591C">
      <w:pPr>
        <w:jc w:val="both"/>
      </w:pPr>
    </w:p>
    <w:p w:rsidR="00A1591C" w:rsidRPr="006A6E77" w:rsidRDefault="004D1F95" w:rsidP="00A1591C">
      <w:pPr>
        <w:pStyle w:val="Akapitzlist"/>
        <w:numPr>
          <w:ilvl w:val="0"/>
          <w:numId w:val="9"/>
        </w:numPr>
        <w:ind w:left="426" w:hanging="426"/>
        <w:jc w:val="both"/>
        <w:rPr>
          <w:i/>
        </w:rPr>
      </w:pPr>
      <w:r w:rsidRPr="006A6E77">
        <w:t xml:space="preserve">Traci moc Uchwała Rady Wydziału Administracji i Nauk Społecznych z dnia 26 maja 2017 r. Regulamin praktyk zawodowych </w:t>
      </w:r>
      <w:r w:rsidRPr="006A6E77">
        <w:rPr>
          <w:bCs/>
        </w:rPr>
        <w:t xml:space="preserve">na Wydziale Administracji i Nauk Społecznych z uwzględnieniem zmian wynikających z:uchwały Rady Wydziału z dnia </w:t>
      </w:r>
      <w:r w:rsidRPr="006A6E77">
        <w:t>15 grudnia 2017 r.</w:t>
      </w:r>
    </w:p>
    <w:p w:rsidR="00A1591C" w:rsidRPr="006A6E77" w:rsidRDefault="00A1591C" w:rsidP="00A1591C">
      <w:pPr>
        <w:pStyle w:val="Akapitzlist"/>
        <w:numPr>
          <w:ilvl w:val="0"/>
          <w:numId w:val="9"/>
        </w:numPr>
        <w:ind w:left="426" w:hanging="426"/>
        <w:jc w:val="both"/>
        <w:rPr>
          <w:i/>
        </w:rPr>
      </w:pPr>
      <w:r w:rsidRPr="006A6E77">
        <w:rPr>
          <w:szCs w:val="28"/>
        </w:rPr>
        <w:t>Regulamin wchodzi w życie z dniem 1 października 2019 r.</w:t>
      </w:r>
    </w:p>
    <w:p w:rsidR="001D1EAF" w:rsidRPr="006A6E77" w:rsidRDefault="001D1EAF" w:rsidP="00183DEC">
      <w:pPr>
        <w:ind w:left="426" w:hanging="426"/>
      </w:pPr>
    </w:p>
    <w:sectPr w:rsidR="001D1EAF" w:rsidRPr="006A6E77" w:rsidSect="00951A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9D" w:rsidRDefault="00DB0B9D" w:rsidP="00C03C79">
      <w:r>
        <w:separator/>
      </w:r>
    </w:p>
  </w:endnote>
  <w:endnote w:type="continuationSeparator" w:id="0">
    <w:p w:rsidR="00DB0B9D" w:rsidRDefault="00DB0B9D" w:rsidP="00C0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746179"/>
      <w:docPartObj>
        <w:docPartGallery w:val="Page Numbers (Bottom of Page)"/>
        <w:docPartUnique/>
      </w:docPartObj>
    </w:sdtPr>
    <w:sdtEndPr/>
    <w:sdtContent>
      <w:p w:rsidR="001D1EAF" w:rsidRDefault="004D1F95">
        <w:pPr>
          <w:pStyle w:val="Stopka"/>
          <w:jc w:val="right"/>
        </w:pPr>
        <w:r>
          <w:fldChar w:fldCharType="begin"/>
        </w:r>
        <w:r w:rsidR="001D1EAF">
          <w:instrText>PAGE   \* MERGEFORMAT</w:instrText>
        </w:r>
        <w:r>
          <w:fldChar w:fldCharType="separate"/>
        </w:r>
        <w:r w:rsidR="006A6E77">
          <w:rPr>
            <w:noProof/>
          </w:rPr>
          <w:t>1</w:t>
        </w:r>
        <w:r>
          <w:fldChar w:fldCharType="end"/>
        </w:r>
      </w:p>
    </w:sdtContent>
  </w:sdt>
  <w:p w:rsidR="001D1EAF" w:rsidRDefault="001D1E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9D" w:rsidRDefault="00DB0B9D" w:rsidP="00C03C79">
      <w:r>
        <w:separator/>
      </w:r>
    </w:p>
  </w:footnote>
  <w:footnote w:type="continuationSeparator" w:id="0">
    <w:p w:rsidR="00DB0B9D" w:rsidRDefault="00DB0B9D" w:rsidP="00C0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54A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036"/>
    <w:multiLevelType w:val="hybridMultilevel"/>
    <w:tmpl w:val="10C47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BB6C35"/>
    <w:multiLevelType w:val="hybridMultilevel"/>
    <w:tmpl w:val="F6FCA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43C49"/>
    <w:multiLevelType w:val="hybridMultilevel"/>
    <w:tmpl w:val="D02E0570"/>
    <w:lvl w:ilvl="0" w:tplc="2DE65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885112"/>
    <w:multiLevelType w:val="hybridMultilevel"/>
    <w:tmpl w:val="D500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910"/>
    <w:multiLevelType w:val="hybridMultilevel"/>
    <w:tmpl w:val="C5BAE9CC"/>
    <w:lvl w:ilvl="0" w:tplc="5D52742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24389"/>
    <w:multiLevelType w:val="hybridMultilevel"/>
    <w:tmpl w:val="3C807A2E"/>
    <w:lvl w:ilvl="0" w:tplc="5D5274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FD583A"/>
    <w:multiLevelType w:val="hybridMultilevel"/>
    <w:tmpl w:val="7C4009B8"/>
    <w:lvl w:ilvl="0" w:tplc="1E4471E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D77334"/>
    <w:multiLevelType w:val="hybridMultilevel"/>
    <w:tmpl w:val="A7EC9C80"/>
    <w:lvl w:ilvl="0" w:tplc="7596755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5916"/>
    <w:multiLevelType w:val="hybridMultilevel"/>
    <w:tmpl w:val="476ED4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84540F3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24E8D"/>
    <w:multiLevelType w:val="hybridMultilevel"/>
    <w:tmpl w:val="96A49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03000"/>
    <w:multiLevelType w:val="hybridMultilevel"/>
    <w:tmpl w:val="E402CE74"/>
    <w:lvl w:ilvl="0" w:tplc="CEA41CB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D82B81"/>
    <w:multiLevelType w:val="hybridMultilevel"/>
    <w:tmpl w:val="D9008B06"/>
    <w:lvl w:ilvl="0" w:tplc="E9AE63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308"/>
    <w:multiLevelType w:val="hybridMultilevel"/>
    <w:tmpl w:val="01FC6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F2A0C"/>
    <w:multiLevelType w:val="hybridMultilevel"/>
    <w:tmpl w:val="D460EC5C"/>
    <w:lvl w:ilvl="0" w:tplc="2F5C6C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7A75DB"/>
    <w:multiLevelType w:val="hybridMultilevel"/>
    <w:tmpl w:val="23A8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4BBD"/>
    <w:multiLevelType w:val="hybridMultilevel"/>
    <w:tmpl w:val="C4801CEC"/>
    <w:lvl w:ilvl="0" w:tplc="5D52742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AEB5F39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F68E1"/>
    <w:multiLevelType w:val="hybridMultilevel"/>
    <w:tmpl w:val="B2446AAA"/>
    <w:lvl w:ilvl="0" w:tplc="1632EA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7"/>
  </w:num>
  <w:num w:numId="13">
    <w:abstractNumId w:val="4"/>
  </w:num>
  <w:num w:numId="14">
    <w:abstractNumId w:val="3"/>
  </w:num>
  <w:num w:numId="15">
    <w:abstractNumId w:val="12"/>
  </w:num>
  <w:num w:numId="16">
    <w:abstractNumId w:val="19"/>
  </w:num>
  <w:num w:numId="17">
    <w:abstractNumId w:val="1"/>
  </w:num>
  <w:num w:numId="18">
    <w:abstractNumId w:val="5"/>
  </w:num>
  <w:num w:numId="19">
    <w:abstractNumId w:val="1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DA8"/>
    <w:rsid w:val="00063178"/>
    <w:rsid w:val="0008180B"/>
    <w:rsid w:val="000948BE"/>
    <w:rsid w:val="000C228E"/>
    <w:rsid w:val="0013305F"/>
    <w:rsid w:val="00146246"/>
    <w:rsid w:val="00183DEC"/>
    <w:rsid w:val="0019617B"/>
    <w:rsid w:val="00197ED4"/>
    <w:rsid w:val="001D1EAF"/>
    <w:rsid w:val="0025139F"/>
    <w:rsid w:val="0029320F"/>
    <w:rsid w:val="00321584"/>
    <w:rsid w:val="003307B9"/>
    <w:rsid w:val="003316BF"/>
    <w:rsid w:val="00366F49"/>
    <w:rsid w:val="00395355"/>
    <w:rsid w:val="003A3202"/>
    <w:rsid w:val="003A3CAF"/>
    <w:rsid w:val="003C3144"/>
    <w:rsid w:val="003E2B26"/>
    <w:rsid w:val="0041648D"/>
    <w:rsid w:val="00495C34"/>
    <w:rsid w:val="00496A91"/>
    <w:rsid w:val="004A2B49"/>
    <w:rsid w:val="004D059B"/>
    <w:rsid w:val="004D1F95"/>
    <w:rsid w:val="00500FA8"/>
    <w:rsid w:val="005113BF"/>
    <w:rsid w:val="00523472"/>
    <w:rsid w:val="00536504"/>
    <w:rsid w:val="005D16C3"/>
    <w:rsid w:val="005D21B7"/>
    <w:rsid w:val="005D6A0A"/>
    <w:rsid w:val="005F0D07"/>
    <w:rsid w:val="005F62EC"/>
    <w:rsid w:val="006045D2"/>
    <w:rsid w:val="006052AC"/>
    <w:rsid w:val="00636BB8"/>
    <w:rsid w:val="006646BA"/>
    <w:rsid w:val="00677F50"/>
    <w:rsid w:val="006A6E77"/>
    <w:rsid w:val="006F7AD9"/>
    <w:rsid w:val="00732E07"/>
    <w:rsid w:val="007342CC"/>
    <w:rsid w:val="00737FCD"/>
    <w:rsid w:val="007B35C2"/>
    <w:rsid w:val="00817EB2"/>
    <w:rsid w:val="00873E89"/>
    <w:rsid w:val="008D56A2"/>
    <w:rsid w:val="00933703"/>
    <w:rsid w:val="009409E8"/>
    <w:rsid w:val="00951A67"/>
    <w:rsid w:val="0096493F"/>
    <w:rsid w:val="0098602E"/>
    <w:rsid w:val="009C5223"/>
    <w:rsid w:val="009F40A5"/>
    <w:rsid w:val="00A1591C"/>
    <w:rsid w:val="00A407BF"/>
    <w:rsid w:val="00A95DA8"/>
    <w:rsid w:val="00AB4731"/>
    <w:rsid w:val="00B42F4D"/>
    <w:rsid w:val="00B8587E"/>
    <w:rsid w:val="00BF7CD6"/>
    <w:rsid w:val="00C0226E"/>
    <w:rsid w:val="00C03C79"/>
    <w:rsid w:val="00C7397D"/>
    <w:rsid w:val="00C879B5"/>
    <w:rsid w:val="00C94746"/>
    <w:rsid w:val="00D1450E"/>
    <w:rsid w:val="00DA1978"/>
    <w:rsid w:val="00DB0B9D"/>
    <w:rsid w:val="00DC3C32"/>
    <w:rsid w:val="00E002AC"/>
    <w:rsid w:val="00E159CC"/>
    <w:rsid w:val="00E46443"/>
    <w:rsid w:val="00E511A8"/>
    <w:rsid w:val="00E51C22"/>
    <w:rsid w:val="00E72643"/>
    <w:rsid w:val="00EB607B"/>
    <w:rsid w:val="00EC0706"/>
    <w:rsid w:val="00F24CE0"/>
    <w:rsid w:val="00F75DAC"/>
    <w:rsid w:val="00FC5F56"/>
    <w:rsid w:val="00FD1F13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04937-9B31-4554-A0F4-1A12A56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746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474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4746"/>
    <w:pPr>
      <w:keepNext/>
      <w:jc w:val="center"/>
      <w:outlineLvl w:val="2"/>
    </w:pPr>
    <w:rPr>
      <w:b/>
      <w:bCs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94746"/>
    <w:pPr>
      <w:keepNext/>
      <w:jc w:val="center"/>
      <w:outlineLvl w:val="4"/>
    </w:pPr>
    <w:rPr>
      <w:b/>
      <w:bCs/>
      <w:color w:val="FF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746"/>
    <w:rPr>
      <w:rFonts w:eastAsia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4746"/>
    <w:rPr>
      <w:rFonts w:eastAsia="Times New Roman" w:cs="Times New Roman"/>
      <w:b/>
      <w:bCs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94746"/>
    <w:rPr>
      <w:rFonts w:eastAsia="Times New Roman" w:cs="Times New Roman"/>
      <w:b/>
      <w:bCs/>
      <w:color w:val="FF0000"/>
      <w:szCs w:val="28"/>
      <w:lang w:eastAsia="pl-PL"/>
    </w:rPr>
  </w:style>
  <w:style w:type="paragraph" w:styleId="Tytu">
    <w:name w:val="Title"/>
    <w:basedOn w:val="Normalny"/>
    <w:link w:val="TytuZnak"/>
    <w:qFormat/>
    <w:rsid w:val="00C9474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94746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47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4746"/>
    <w:rPr>
      <w:rFonts w:eastAsia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47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4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746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46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9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97D"/>
    <w:rPr>
      <w:rFonts w:eastAsia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C7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C79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Szadok</dc:creator>
  <cp:keywords/>
  <dc:description/>
  <cp:lastModifiedBy>Miłosz</cp:lastModifiedBy>
  <cp:revision>9</cp:revision>
  <cp:lastPrinted>2017-05-23T11:40:00Z</cp:lastPrinted>
  <dcterms:created xsi:type="dcterms:W3CDTF">2019-11-11T19:35:00Z</dcterms:created>
  <dcterms:modified xsi:type="dcterms:W3CDTF">2020-01-08T19:08:00Z</dcterms:modified>
</cp:coreProperties>
</file>