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103EC" w14:textId="36CF1373" w:rsidR="00715D3F" w:rsidRPr="00841618" w:rsidRDefault="00AA71C9" w:rsidP="00715D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Uchwała  Senatu</w:t>
      </w:r>
    </w:p>
    <w:p w14:paraId="4AB04F06" w14:textId="77777777" w:rsidR="00715D3F" w:rsidRPr="00841618" w:rsidRDefault="00715D3F" w:rsidP="00715D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41618">
        <w:rPr>
          <w:rFonts w:ascii="Times New Roman" w:hAnsi="Times New Roman"/>
          <w:b/>
          <w:sz w:val="24"/>
          <w:szCs w:val="24"/>
        </w:rPr>
        <w:t>Elbląskiej Uczelni Humanistyczno-Ekonomicznej w Elblągu</w:t>
      </w:r>
    </w:p>
    <w:p w14:paraId="68D46E4C" w14:textId="63D7867D" w:rsidR="00715D3F" w:rsidRPr="00841618" w:rsidRDefault="00715D3F" w:rsidP="00715D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41618">
        <w:rPr>
          <w:rFonts w:ascii="Times New Roman" w:hAnsi="Times New Roman"/>
          <w:b/>
          <w:sz w:val="24"/>
          <w:szCs w:val="24"/>
        </w:rPr>
        <w:t xml:space="preserve">z dnia </w:t>
      </w:r>
      <w:r w:rsidR="00C17A4F">
        <w:rPr>
          <w:rFonts w:ascii="Times New Roman" w:hAnsi="Times New Roman"/>
          <w:b/>
          <w:sz w:val="24"/>
          <w:szCs w:val="24"/>
        </w:rPr>
        <w:t>26 kwietnia 2019 roku</w:t>
      </w:r>
    </w:p>
    <w:p w14:paraId="389840A3" w14:textId="77777777" w:rsidR="00715D3F" w:rsidRPr="00841618" w:rsidRDefault="00715D3F" w:rsidP="00715D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9983888" w14:textId="53ADED36" w:rsidR="00715D3F" w:rsidRPr="00841618" w:rsidRDefault="00715D3F" w:rsidP="00D856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41618">
        <w:rPr>
          <w:rFonts w:ascii="Times New Roman" w:hAnsi="Times New Roman"/>
          <w:b/>
          <w:sz w:val="24"/>
          <w:szCs w:val="24"/>
        </w:rPr>
        <w:t xml:space="preserve">w sprawie organizacji potwierdzania efektów uczenia się </w:t>
      </w:r>
    </w:p>
    <w:p w14:paraId="5272128C" w14:textId="77777777" w:rsidR="00D856B9" w:rsidRPr="00D856B9" w:rsidRDefault="00D856B9" w:rsidP="00D856B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14:paraId="0FBDA588" w14:textId="38B0C377" w:rsidR="00715D3F" w:rsidRDefault="00B1015B" w:rsidP="00715D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podstawie art. 28 ust. 1 pkt. 13  ustawy z dnia 20 lipca 2018</w:t>
      </w:r>
      <w:r w:rsidR="00715D3F">
        <w:rPr>
          <w:rFonts w:ascii="Times New Roman" w:hAnsi="Times New Roman"/>
          <w:sz w:val="24"/>
        </w:rPr>
        <w:t xml:space="preserve"> r.  </w:t>
      </w:r>
      <w:r w:rsidR="00715D3F" w:rsidRPr="00B1015B">
        <w:rPr>
          <w:rFonts w:ascii="Times New Roman" w:hAnsi="Times New Roman"/>
          <w:i/>
          <w:sz w:val="24"/>
        </w:rPr>
        <w:t>Prawo o szkolnictwie wyższym</w:t>
      </w:r>
      <w:r w:rsidRPr="00B1015B">
        <w:rPr>
          <w:rFonts w:ascii="Times New Roman" w:hAnsi="Times New Roman"/>
          <w:i/>
          <w:sz w:val="24"/>
        </w:rPr>
        <w:t xml:space="preserve"> i nauce</w:t>
      </w:r>
      <w:r>
        <w:rPr>
          <w:rFonts w:ascii="Times New Roman" w:hAnsi="Times New Roman"/>
          <w:sz w:val="24"/>
        </w:rPr>
        <w:t xml:space="preserve">  (</w:t>
      </w:r>
      <w:r w:rsidRPr="00FE7355">
        <w:rPr>
          <w:rFonts w:ascii="Times New Roman" w:hAnsi="Times New Roman"/>
          <w:sz w:val="24"/>
          <w:szCs w:val="24"/>
        </w:rPr>
        <w:t>Dz.U.2018, poz.1668</w:t>
      </w:r>
      <w:r>
        <w:rPr>
          <w:rFonts w:ascii="Times New Roman" w:hAnsi="Times New Roman"/>
          <w:sz w:val="24"/>
          <w:szCs w:val="24"/>
        </w:rPr>
        <w:t xml:space="preserve"> </w:t>
      </w:r>
      <w:r w:rsidR="00715D3F">
        <w:rPr>
          <w:rFonts w:ascii="Times New Roman" w:hAnsi="Times New Roman"/>
          <w:sz w:val="24"/>
        </w:rPr>
        <w:t>ze zm.) Senat uchwala co następuje:</w:t>
      </w:r>
    </w:p>
    <w:p w14:paraId="79840A00" w14:textId="77777777" w:rsidR="00715D3F" w:rsidRDefault="00715D3F" w:rsidP="00715D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</w:p>
    <w:p w14:paraId="598099A9" w14:textId="77777777" w:rsidR="00715D3F" w:rsidRDefault="00715D3F" w:rsidP="00715D3F">
      <w:pPr>
        <w:spacing w:before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3593C562" w14:textId="77777777" w:rsidR="00715D3F" w:rsidRDefault="00715D3F" w:rsidP="00715D3F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Uchwała określa:</w:t>
      </w:r>
    </w:p>
    <w:p w14:paraId="0108040B" w14:textId="77777777" w:rsidR="00715D3F" w:rsidRPr="00715D3F" w:rsidRDefault="00715D3F" w:rsidP="00715D3F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1) </w:t>
      </w:r>
      <w:r w:rsidRPr="00715D3F">
        <w:rPr>
          <w:rFonts w:ascii="Times New Roman" w:eastAsiaTheme="minorHAnsi" w:hAnsi="Times New Roman"/>
          <w:sz w:val="24"/>
          <w:szCs w:val="24"/>
        </w:rPr>
        <w:t>zasady, warunki i tryb po</w:t>
      </w:r>
      <w:r>
        <w:rPr>
          <w:rFonts w:ascii="Times New Roman" w:eastAsiaTheme="minorHAnsi" w:hAnsi="Times New Roman"/>
          <w:sz w:val="24"/>
          <w:szCs w:val="24"/>
        </w:rPr>
        <w:t>twierdzania efektów uczenia się,</w:t>
      </w:r>
    </w:p>
    <w:p w14:paraId="1136CD4E" w14:textId="419843A3" w:rsidR="006D29D6" w:rsidRPr="00D856B9" w:rsidRDefault="00715D3F" w:rsidP="00D856B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</w:t>
      </w:r>
      <w:r w:rsidRPr="00715D3F">
        <w:rPr>
          <w:rFonts w:ascii="Times New Roman" w:eastAsiaTheme="minorHAnsi" w:hAnsi="Times New Roman"/>
          <w:sz w:val="24"/>
          <w:szCs w:val="24"/>
        </w:rPr>
        <w:t>) sposób powoływania i tryb działania komisji weryfikujących efekty uczenia się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16C23EE9" w14:textId="77777777" w:rsidR="00D21A36" w:rsidRDefault="00D21A36" w:rsidP="00715D3F">
      <w:pPr>
        <w:spacing w:before="120"/>
        <w:jc w:val="center"/>
        <w:rPr>
          <w:rFonts w:ascii="Times New Roman" w:hAnsi="Times New Roman"/>
          <w:sz w:val="24"/>
          <w:szCs w:val="24"/>
        </w:rPr>
      </w:pPr>
    </w:p>
    <w:p w14:paraId="6CFF66AE" w14:textId="77777777" w:rsidR="00715D3F" w:rsidRDefault="00715D3F" w:rsidP="00715D3F">
      <w:pPr>
        <w:spacing w:before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14:paraId="1D130CCF" w14:textId="77777777" w:rsidR="00DC2D4D" w:rsidRPr="00DC2D4D" w:rsidRDefault="00715D3F" w:rsidP="00DC2D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Użyte w uchwale określenia oznaczają:</w:t>
      </w:r>
    </w:p>
    <w:p w14:paraId="7EDF34BE" w14:textId="3A7ADECD" w:rsidR="00715D3F" w:rsidRPr="0041541F" w:rsidRDefault="00715D3F" w:rsidP="00D05D9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1C67">
        <w:rPr>
          <w:rFonts w:ascii="Times New Roman" w:hAnsi="Times New Roman"/>
          <w:sz w:val="24"/>
          <w:szCs w:val="24"/>
        </w:rPr>
        <w:t>efekty uczenia się</w:t>
      </w:r>
      <w:r w:rsidR="00A91C67" w:rsidRPr="00A91C67">
        <w:rPr>
          <w:rFonts w:ascii="Times New Roman" w:hAnsi="Times New Roman"/>
          <w:sz w:val="24"/>
          <w:szCs w:val="24"/>
        </w:rPr>
        <w:t xml:space="preserve"> - </w:t>
      </w:r>
      <w:r w:rsidR="00A91C67" w:rsidRPr="00A91C67">
        <w:rPr>
          <w:rFonts w:ascii="Times New Roman" w:eastAsiaTheme="minorHAnsi" w:hAnsi="Times New Roman"/>
          <w:sz w:val="24"/>
          <w:szCs w:val="24"/>
        </w:rPr>
        <w:t>zasób wiedzy, umiejętności oraz kompetencji społecznych</w:t>
      </w:r>
      <w:r w:rsidR="00A91C67">
        <w:rPr>
          <w:rFonts w:ascii="Times New Roman" w:eastAsiaTheme="minorHAnsi" w:hAnsi="Times New Roman"/>
          <w:sz w:val="24"/>
          <w:szCs w:val="24"/>
        </w:rPr>
        <w:t xml:space="preserve"> </w:t>
      </w:r>
      <w:r w:rsidR="00D21A36">
        <w:rPr>
          <w:rFonts w:ascii="Times New Roman" w:eastAsiaTheme="minorHAnsi" w:hAnsi="Times New Roman"/>
          <w:sz w:val="24"/>
          <w:szCs w:val="24"/>
        </w:rPr>
        <w:t>nabytych w </w:t>
      </w:r>
      <w:r w:rsidR="00A91C67" w:rsidRPr="0041541F">
        <w:rPr>
          <w:rFonts w:ascii="Times New Roman" w:eastAsiaTheme="minorHAnsi" w:hAnsi="Times New Roman"/>
          <w:sz w:val="24"/>
          <w:szCs w:val="24"/>
        </w:rPr>
        <w:t>procesie uczenia się poza systemem studiów</w:t>
      </w:r>
    </w:p>
    <w:p w14:paraId="53F74B2B" w14:textId="77777777" w:rsidR="00A91C67" w:rsidRPr="0041541F" w:rsidRDefault="00A91C67" w:rsidP="0094331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541F">
        <w:rPr>
          <w:rFonts w:ascii="Times New Roman" w:eastAsiaTheme="minorHAnsi" w:hAnsi="Times New Roman"/>
          <w:sz w:val="24"/>
          <w:szCs w:val="24"/>
        </w:rPr>
        <w:t xml:space="preserve">potwierdzanie efektów uczenia się - </w:t>
      </w:r>
      <w:r w:rsidRPr="0041541F">
        <w:rPr>
          <w:rFonts w:ascii="Times New Roman" w:eastAsiaTheme="minorHAnsi" w:hAnsi="Times New Roman"/>
          <w:bCs/>
          <w:sz w:val="24"/>
          <w:szCs w:val="24"/>
        </w:rPr>
        <w:t>formalny proces weryfikacji posiadanych efektów</w:t>
      </w:r>
      <w:r w:rsidR="0094331F" w:rsidRPr="0041541F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1541F">
        <w:rPr>
          <w:rFonts w:ascii="Times New Roman" w:eastAsiaTheme="minorHAnsi" w:hAnsi="Times New Roman"/>
          <w:bCs/>
          <w:sz w:val="24"/>
          <w:szCs w:val="24"/>
        </w:rPr>
        <w:t>uczenia si</w:t>
      </w:r>
      <w:r w:rsidRPr="0041541F">
        <w:rPr>
          <w:rFonts w:ascii="Times New Roman" w:eastAsiaTheme="minorHAnsi" w:hAnsi="Times New Roman"/>
          <w:sz w:val="24"/>
          <w:szCs w:val="24"/>
        </w:rPr>
        <w:t xml:space="preserve">ę </w:t>
      </w:r>
      <w:r w:rsidRPr="0041541F">
        <w:rPr>
          <w:rFonts w:ascii="Times New Roman" w:eastAsiaTheme="minorHAnsi" w:hAnsi="Times New Roman"/>
          <w:bCs/>
          <w:sz w:val="24"/>
          <w:szCs w:val="24"/>
        </w:rPr>
        <w:t>zorganizowanego instytucjonalnie poza systemem studiów oraz uczenia si</w:t>
      </w:r>
      <w:r w:rsidRPr="0041541F">
        <w:rPr>
          <w:rFonts w:ascii="Times New Roman" w:eastAsiaTheme="minorHAnsi" w:hAnsi="Times New Roman"/>
          <w:sz w:val="24"/>
          <w:szCs w:val="24"/>
        </w:rPr>
        <w:t>ę</w:t>
      </w:r>
      <w:r w:rsidR="0094331F" w:rsidRPr="0041541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1541F">
        <w:rPr>
          <w:rFonts w:ascii="Times New Roman" w:eastAsiaTheme="minorHAnsi" w:hAnsi="Times New Roman"/>
          <w:bCs/>
          <w:sz w:val="24"/>
          <w:szCs w:val="24"/>
        </w:rPr>
        <w:t>niezorganizowanego instytucjonalnie, realizowanego w sposób i metodami zwi</w:t>
      </w:r>
      <w:r w:rsidRPr="0041541F">
        <w:rPr>
          <w:rFonts w:ascii="Times New Roman" w:eastAsiaTheme="minorHAnsi" w:hAnsi="Times New Roman"/>
          <w:sz w:val="24"/>
          <w:szCs w:val="24"/>
        </w:rPr>
        <w:t>ę</w:t>
      </w:r>
      <w:r w:rsidRPr="0041541F">
        <w:rPr>
          <w:rFonts w:ascii="Times New Roman" w:eastAsiaTheme="minorHAnsi" w:hAnsi="Times New Roman"/>
          <w:bCs/>
          <w:sz w:val="24"/>
          <w:szCs w:val="24"/>
        </w:rPr>
        <w:t>kszaj</w:t>
      </w:r>
      <w:r w:rsidRPr="0041541F">
        <w:rPr>
          <w:rFonts w:ascii="Times New Roman" w:eastAsiaTheme="minorHAnsi" w:hAnsi="Times New Roman"/>
          <w:sz w:val="24"/>
          <w:szCs w:val="24"/>
        </w:rPr>
        <w:t>ą</w:t>
      </w:r>
      <w:r w:rsidRPr="0041541F">
        <w:rPr>
          <w:rFonts w:ascii="Times New Roman" w:eastAsiaTheme="minorHAnsi" w:hAnsi="Times New Roman"/>
          <w:bCs/>
          <w:sz w:val="24"/>
          <w:szCs w:val="24"/>
        </w:rPr>
        <w:t>cymi</w:t>
      </w:r>
      <w:r w:rsidR="0094331F" w:rsidRPr="0041541F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1541F">
        <w:rPr>
          <w:rFonts w:ascii="Times New Roman" w:eastAsiaTheme="minorHAnsi" w:hAnsi="Times New Roman"/>
          <w:bCs/>
          <w:sz w:val="24"/>
          <w:szCs w:val="24"/>
        </w:rPr>
        <w:t>zasób wiedzy, umiej</w:t>
      </w:r>
      <w:r w:rsidRPr="0041541F">
        <w:rPr>
          <w:rFonts w:ascii="Times New Roman" w:eastAsiaTheme="minorHAnsi" w:hAnsi="Times New Roman"/>
          <w:sz w:val="24"/>
          <w:szCs w:val="24"/>
        </w:rPr>
        <w:t>ę</w:t>
      </w:r>
      <w:r w:rsidRPr="0041541F">
        <w:rPr>
          <w:rFonts w:ascii="Times New Roman" w:eastAsiaTheme="minorHAnsi" w:hAnsi="Times New Roman"/>
          <w:bCs/>
          <w:sz w:val="24"/>
          <w:szCs w:val="24"/>
        </w:rPr>
        <w:t>tno</w:t>
      </w:r>
      <w:r w:rsidRPr="0041541F">
        <w:rPr>
          <w:rFonts w:ascii="Times New Roman" w:eastAsiaTheme="minorHAnsi" w:hAnsi="Times New Roman"/>
          <w:sz w:val="24"/>
          <w:szCs w:val="24"/>
        </w:rPr>
        <w:t>ś</w:t>
      </w:r>
      <w:r w:rsidRPr="0041541F">
        <w:rPr>
          <w:rFonts w:ascii="Times New Roman" w:eastAsiaTheme="minorHAnsi" w:hAnsi="Times New Roman"/>
          <w:bCs/>
          <w:sz w:val="24"/>
          <w:szCs w:val="24"/>
        </w:rPr>
        <w:t>ci i kompetencji społecznych</w:t>
      </w:r>
    </w:p>
    <w:p w14:paraId="510B8B0F" w14:textId="6B4FC412" w:rsidR="0094331F" w:rsidRPr="0041541F" w:rsidRDefault="0094331F" w:rsidP="0094331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541F">
        <w:rPr>
          <w:rFonts w:ascii="Times New Roman" w:eastAsiaTheme="minorHAnsi" w:hAnsi="Times New Roman"/>
          <w:bCs/>
          <w:sz w:val="24"/>
          <w:szCs w:val="24"/>
        </w:rPr>
        <w:t>uczenie si</w:t>
      </w:r>
      <w:r w:rsidRPr="0041541F">
        <w:rPr>
          <w:rFonts w:ascii="Times New Roman" w:eastAsiaTheme="minorHAnsi" w:hAnsi="Times New Roman"/>
          <w:sz w:val="24"/>
          <w:szCs w:val="24"/>
        </w:rPr>
        <w:t xml:space="preserve">ę </w:t>
      </w:r>
      <w:r w:rsidRPr="0041541F">
        <w:rPr>
          <w:rFonts w:ascii="Times New Roman" w:eastAsiaTheme="minorHAnsi" w:hAnsi="Times New Roman"/>
          <w:bCs/>
          <w:sz w:val="24"/>
          <w:szCs w:val="24"/>
        </w:rPr>
        <w:t>zorganizowane instytucjonalnie poza systemem studiów</w:t>
      </w:r>
      <w:r w:rsidR="008B3E5D" w:rsidRPr="0041541F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1541F"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r w:rsidRPr="0041541F">
        <w:rPr>
          <w:rFonts w:ascii="Times New Roman" w:hAnsi="Times New Roman"/>
          <w:bCs/>
          <w:sz w:val="24"/>
          <w:szCs w:val="24"/>
        </w:rPr>
        <w:t>zorganizowany proces uczenia się wynikający z zaplanowanych działań pod względem celu i czasu nauki, w szczególności kursy i szkolenia w miejscu pracy, nauka języków obcych oraz uczenie się z wykorzystaniem otwartych zasobów edukacyjnych</w:t>
      </w:r>
    </w:p>
    <w:p w14:paraId="0B5AB0A7" w14:textId="2ED495B2" w:rsidR="00DC2D4D" w:rsidRPr="00DC2D4D" w:rsidRDefault="0094331F" w:rsidP="00DC2D4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541F">
        <w:rPr>
          <w:rFonts w:ascii="Times New Roman" w:eastAsiaTheme="minorHAnsi" w:hAnsi="Times New Roman"/>
          <w:bCs/>
          <w:sz w:val="24"/>
          <w:szCs w:val="24"/>
        </w:rPr>
        <w:t>uczenie si</w:t>
      </w:r>
      <w:r w:rsidRPr="0041541F">
        <w:rPr>
          <w:rFonts w:ascii="Times New Roman" w:eastAsiaTheme="minorHAnsi" w:hAnsi="Times New Roman"/>
          <w:sz w:val="24"/>
          <w:szCs w:val="24"/>
        </w:rPr>
        <w:t xml:space="preserve">ę </w:t>
      </w:r>
      <w:r w:rsidRPr="0041541F">
        <w:rPr>
          <w:rFonts w:ascii="Times New Roman" w:eastAsiaTheme="minorHAnsi" w:hAnsi="Times New Roman"/>
          <w:bCs/>
          <w:sz w:val="24"/>
          <w:szCs w:val="24"/>
        </w:rPr>
        <w:t xml:space="preserve">niezorganizowane instytucjonalnie - </w:t>
      </w:r>
      <w:r w:rsidRPr="0041541F">
        <w:rPr>
          <w:rFonts w:ascii="Times New Roman" w:hAnsi="Times New Roman"/>
          <w:bCs/>
          <w:sz w:val="24"/>
          <w:szCs w:val="24"/>
        </w:rPr>
        <w:t>uczenie się niezorganizowane pod względem celu i czasu, wynikające z działań związanych z pracą, życiem rodzinnym lub spędzaniem czasu wolnego, w szczególności naby</w:t>
      </w:r>
      <w:r w:rsidR="00D05D93">
        <w:rPr>
          <w:rFonts w:ascii="Times New Roman" w:hAnsi="Times New Roman"/>
          <w:bCs/>
          <w:sz w:val="24"/>
          <w:szCs w:val="24"/>
        </w:rPr>
        <w:t>wanie umiejętności zawodowych i </w:t>
      </w:r>
      <w:r w:rsidRPr="0094331F">
        <w:rPr>
          <w:rFonts w:ascii="Times New Roman" w:hAnsi="Times New Roman"/>
          <w:bCs/>
          <w:color w:val="000000"/>
          <w:sz w:val="24"/>
          <w:szCs w:val="24"/>
        </w:rPr>
        <w:t>społecznych</w:t>
      </w:r>
    </w:p>
    <w:p w14:paraId="3137A187" w14:textId="6B64CF28" w:rsidR="00DC2D4D" w:rsidRDefault="008D4755" w:rsidP="00A20334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efekty uczenia</w:t>
      </w:r>
      <w:r w:rsidR="00DC2D4D">
        <w:rPr>
          <w:rFonts w:ascii="Times New Roman" w:hAnsi="Times New Roman"/>
          <w:sz w:val="24"/>
          <w:szCs w:val="24"/>
        </w:rPr>
        <w:t xml:space="preserve"> – zasób wiedzy, umiejętności i kompetencji społecznych uzyskiwanych w procesie kształcenia w systemie studiów</w:t>
      </w:r>
    </w:p>
    <w:p w14:paraId="3E3C8DFC" w14:textId="4608AB21" w:rsidR="00DC2D4D" w:rsidRPr="00DC2D4D" w:rsidRDefault="00DC2D4D" w:rsidP="00DC2D4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</w:t>
      </w:r>
      <w:r w:rsidRPr="0094331F">
        <w:rPr>
          <w:rFonts w:ascii="Times New Roman" w:hAnsi="Times New Roman"/>
          <w:bCs/>
          <w:color w:val="000000"/>
          <w:sz w:val="24"/>
          <w:szCs w:val="24"/>
        </w:rPr>
        <w:t>unkty ECTS – punkty zdefiniowane w europejskim systemie akumulacji i transferu punktów zaliczeniowych jako miara średniego nakładu pracy osoby uczącej się, niezbędnego do uzyskania</w:t>
      </w:r>
      <w:r w:rsidR="008D4755">
        <w:rPr>
          <w:rFonts w:ascii="Times New Roman" w:hAnsi="Times New Roman"/>
          <w:bCs/>
          <w:color w:val="000000"/>
          <w:sz w:val="24"/>
          <w:szCs w:val="24"/>
        </w:rPr>
        <w:t xml:space="preserve"> zakładanych efektów uczenia</w:t>
      </w:r>
    </w:p>
    <w:p w14:paraId="341FE380" w14:textId="77777777" w:rsidR="00715D3F" w:rsidRPr="00A20334" w:rsidRDefault="00715D3F" w:rsidP="00A20334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5C9A">
        <w:rPr>
          <w:rFonts w:ascii="Times New Roman" w:hAnsi="Times New Roman"/>
          <w:sz w:val="24"/>
          <w:szCs w:val="24"/>
        </w:rPr>
        <w:t>kandydat</w:t>
      </w:r>
      <w:r w:rsidR="0094331F" w:rsidRPr="00CD5C9A">
        <w:rPr>
          <w:rFonts w:ascii="Times New Roman" w:hAnsi="Times New Roman"/>
          <w:sz w:val="24"/>
          <w:szCs w:val="24"/>
        </w:rPr>
        <w:t xml:space="preserve"> -</w:t>
      </w:r>
      <w:r w:rsidR="0094331F">
        <w:rPr>
          <w:rFonts w:ascii="Times New Roman" w:hAnsi="Times New Roman"/>
          <w:sz w:val="24"/>
          <w:szCs w:val="24"/>
        </w:rPr>
        <w:t xml:space="preserve"> </w:t>
      </w:r>
      <w:r w:rsidR="00CD5C9A">
        <w:rPr>
          <w:rFonts w:ascii="Times New Roman" w:hAnsi="Times New Roman"/>
          <w:sz w:val="24"/>
          <w:szCs w:val="24"/>
        </w:rPr>
        <w:t xml:space="preserve">osoba ubiegająca się o przyjęcie </w:t>
      </w:r>
      <w:r w:rsidR="00CD5C9A" w:rsidRPr="00A20334">
        <w:rPr>
          <w:rFonts w:ascii="Times New Roman" w:hAnsi="Times New Roman"/>
          <w:bCs/>
          <w:color w:val="000000"/>
          <w:sz w:val="24"/>
          <w:szCs w:val="24"/>
        </w:rPr>
        <w:t xml:space="preserve">na studia </w:t>
      </w:r>
      <w:r w:rsidR="00CD5C9A">
        <w:rPr>
          <w:rFonts w:ascii="Times New Roman" w:hAnsi="Times New Roman"/>
          <w:bCs/>
          <w:color w:val="000000"/>
          <w:sz w:val="24"/>
          <w:szCs w:val="24"/>
        </w:rPr>
        <w:t>w wyniku potwierdzenia</w:t>
      </w:r>
      <w:r w:rsidR="00CD5C9A" w:rsidRPr="00A20334">
        <w:rPr>
          <w:rFonts w:ascii="Times New Roman" w:hAnsi="Times New Roman"/>
          <w:bCs/>
          <w:color w:val="000000"/>
          <w:sz w:val="24"/>
          <w:szCs w:val="24"/>
        </w:rPr>
        <w:t xml:space="preserve"> efektów uczenia się </w:t>
      </w:r>
    </w:p>
    <w:p w14:paraId="46676F01" w14:textId="0967A8FF" w:rsidR="00A91C67" w:rsidRPr="00DC2D4D" w:rsidRDefault="00715D3F" w:rsidP="00DC2D4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331F">
        <w:rPr>
          <w:rFonts w:ascii="Times New Roman" w:hAnsi="Times New Roman"/>
          <w:sz w:val="24"/>
          <w:szCs w:val="24"/>
        </w:rPr>
        <w:t>ustawa</w:t>
      </w:r>
      <w:r w:rsidR="0094331F">
        <w:rPr>
          <w:rFonts w:ascii="Times New Roman" w:hAnsi="Times New Roman"/>
          <w:sz w:val="24"/>
          <w:szCs w:val="24"/>
        </w:rPr>
        <w:t xml:space="preserve"> - </w:t>
      </w:r>
      <w:r w:rsidR="0094331F">
        <w:rPr>
          <w:rFonts w:ascii="Times New Roman" w:hAnsi="Times New Roman"/>
          <w:sz w:val="24"/>
        </w:rPr>
        <w:t xml:space="preserve">ustawa </w:t>
      </w:r>
      <w:r w:rsidR="00D05D93">
        <w:rPr>
          <w:rFonts w:ascii="Times New Roman" w:hAnsi="Times New Roman"/>
          <w:sz w:val="24"/>
        </w:rPr>
        <w:t xml:space="preserve">z dnia 20 lipca 2018 r.  </w:t>
      </w:r>
      <w:r w:rsidR="00D05D93" w:rsidRPr="00D05D93">
        <w:rPr>
          <w:rFonts w:ascii="Times New Roman" w:hAnsi="Times New Roman"/>
          <w:sz w:val="24"/>
        </w:rPr>
        <w:t>Prawo o szkolnictwie wyższym i nauce</w:t>
      </w:r>
      <w:r w:rsidR="00D05D93">
        <w:rPr>
          <w:rFonts w:ascii="Times New Roman" w:hAnsi="Times New Roman"/>
          <w:sz w:val="24"/>
        </w:rPr>
        <w:t xml:space="preserve">  </w:t>
      </w:r>
    </w:p>
    <w:p w14:paraId="091A5A79" w14:textId="77777777" w:rsidR="00CD5C9A" w:rsidRPr="00DC2D4D" w:rsidRDefault="00CD5C9A" w:rsidP="0094331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portfolio – zbiór dowodów potwierdzających uzyskanie przez kandydata efektów uczenia się dołączany do wniosku</w:t>
      </w:r>
    </w:p>
    <w:p w14:paraId="7E6ED9A9" w14:textId="1E9320F1" w:rsidR="006D29D6" w:rsidRPr="00D856B9" w:rsidRDefault="00DC4A81" w:rsidP="00D856B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2D4D">
        <w:rPr>
          <w:rFonts w:ascii="Times New Roman" w:hAnsi="Times New Roman"/>
          <w:bCs/>
          <w:color w:val="000000"/>
          <w:sz w:val="24"/>
          <w:szCs w:val="24"/>
        </w:rPr>
        <w:t>USOS – Uczelniany System Obsługi Studenta</w:t>
      </w:r>
      <w:r w:rsidR="006C2873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17F08E34" w14:textId="77777777" w:rsidR="00623F9B" w:rsidRDefault="00623F9B" w:rsidP="00A20334">
      <w:pPr>
        <w:spacing w:before="120"/>
        <w:jc w:val="center"/>
        <w:rPr>
          <w:rFonts w:ascii="Times New Roman" w:hAnsi="Times New Roman"/>
          <w:sz w:val="24"/>
          <w:szCs w:val="24"/>
        </w:rPr>
      </w:pPr>
    </w:p>
    <w:p w14:paraId="5877DF48" w14:textId="77777777" w:rsidR="00A20334" w:rsidRDefault="00A20334" w:rsidP="00A20334">
      <w:pPr>
        <w:spacing w:before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09BDC2F2" w14:textId="28950FD1" w:rsidR="002862BD" w:rsidRDefault="002862BD" w:rsidP="002862B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2862BD">
        <w:rPr>
          <w:rFonts w:ascii="Times New Roman" w:eastAsiaTheme="minorHAnsi" w:hAnsi="Times New Roman"/>
          <w:sz w:val="24"/>
          <w:szCs w:val="24"/>
        </w:rPr>
        <w:t>Potwierdzanie efektów uczenia się może być przeprowadzone na kierunku,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05D93">
        <w:rPr>
          <w:rFonts w:ascii="Times New Roman" w:eastAsiaTheme="minorHAnsi" w:hAnsi="Times New Roman"/>
          <w:sz w:val="24"/>
          <w:szCs w:val="24"/>
        </w:rPr>
        <w:t>poziomie i </w:t>
      </w:r>
      <w:r w:rsidRPr="002862BD">
        <w:rPr>
          <w:rFonts w:ascii="Times New Roman" w:eastAsiaTheme="minorHAnsi" w:hAnsi="Times New Roman"/>
          <w:sz w:val="24"/>
          <w:szCs w:val="24"/>
        </w:rPr>
        <w:t>profilu kształcenia, który posiada co najmniej pozytywną ocenę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862BD">
        <w:rPr>
          <w:rFonts w:ascii="Times New Roman" w:eastAsiaTheme="minorHAnsi" w:hAnsi="Times New Roman"/>
          <w:sz w:val="24"/>
          <w:szCs w:val="24"/>
        </w:rPr>
        <w:t>programową na tym kierunku, poziomie i profilu kształcenia.</w:t>
      </w:r>
    </w:p>
    <w:p w14:paraId="4FEC8612" w14:textId="5CE032A6" w:rsidR="002862BD" w:rsidRDefault="002862BD" w:rsidP="002862B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2862BD">
        <w:rPr>
          <w:rFonts w:ascii="Times New Roman" w:eastAsiaTheme="minorHAnsi" w:hAnsi="Times New Roman"/>
          <w:sz w:val="24"/>
          <w:szCs w:val="24"/>
        </w:rPr>
        <w:t>Z potwierdzania efektów uczenia się są wyłączone kierunki, dla których zostały określone standardy kszta</w:t>
      </w:r>
      <w:r w:rsidR="00D05D93">
        <w:rPr>
          <w:rFonts w:ascii="Times New Roman" w:eastAsiaTheme="minorHAnsi" w:hAnsi="Times New Roman"/>
          <w:sz w:val="24"/>
          <w:szCs w:val="24"/>
        </w:rPr>
        <w:t>łcenia, o których mowa w art. 68 ust.1 pkt. 1-10</w:t>
      </w:r>
      <w:r w:rsidRPr="002862BD">
        <w:rPr>
          <w:rFonts w:ascii="Times New Roman" w:eastAsiaTheme="minorHAnsi" w:hAnsi="Times New Roman"/>
          <w:sz w:val="24"/>
          <w:szCs w:val="24"/>
        </w:rPr>
        <w:t xml:space="preserve"> ustawy.</w:t>
      </w:r>
    </w:p>
    <w:p w14:paraId="3FE0374E" w14:textId="77777777" w:rsidR="002862BD" w:rsidRDefault="002862BD" w:rsidP="002862B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2862BD">
        <w:rPr>
          <w:rFonts w:ascii="Times New Roman" w:eastAsiaTheme="minorHAnsi" w:hAnsi="Times New Roman"/>
          <w:sz w:val="24"/>
          <w:szCs w:val="24"/>
        </w:rPr>
        <w:t>Rektor uczelni ogłasza raz w roku wykaz kierunków w ramach, których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862BD">
        <w:rPr>
          <w:rFonts w:ascii="Times New Roman" w:eastAsiaTheme="minorHAnsi" w:hAnsi="Times New Roman"/>
          <w:sz w:val="24"/>
          <w:szCs w:val="24"/>
        </w:rPr>
        <w:t>przeprowadzona może być procedura potwierdzania efektów uczenia się.</w:t>
      </w:r>
    </w:p>
    <w:p w14:paraId="17B69237" w14:textId="7284924A" w:rsidR="002862BD" w:rsidRPr="008F7BB4" w:rsidRDefault="005A100E" w:rsidP="002862B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8F7BB4">
        <w:rPr>
          <w:rFonts w:ascii="Times New Roman" w:eastAsiaTheme="minorHAnsi" w:hAnsi="Times New Roman"/>
          <w:sz w:val="24"/>
          <w:szCs w:val="24"/>
        </w:rPr>
        <w:t>Wykaz przedmiotów/modułów, które w ramach danego kierunku kształcenia mogą być objęte procedurą potwierdzania efektów uczenia się stanowi program studiów tego kierunku</w:t>
      </w:r>
      <w:r w:rsidR="002862BD" w:rsidRPr="008F7BB4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615E85A4" w14:textId="13D3F127" w:rsidR="002862BD" w:rsidRDefault="002862BD" w:rsidP="002862B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2862BD">
        <w:rPr>
          <w:rFonts w:ascii="Times New Roman" w:eastAsiaTheme="minorHAnsi" w:hAnsi="Times New Roman"/>
          <w:sz w:val="24"/>
          <w:szCs w:val="24"/>
        </w:rPr>
        <w:t xml:space="preserve">Weryfikacja efektów uczenia się jest dokonywana </w:t>
      </w:r>
      <w:r>
        <w:rPr>
          <w:rFonts w:ascii="Times New Roman" w:eastAsiaTheme="minorHAnsi" w:hAnsi="Times New Roman"/>
          <w:sz w:val="24"/>
          <w:szCs w:val="24"/>
        </w:rPr>
        <w:t>w zakresie od</w:t>
      </w:r>
      <w:r w:rsidR="00BA01FF">
        <w:rPr>
          <w:rFonts w:ascii="Times New Roman" w:eastAsiaTheme="minorHAnsi" w:hAnsi="Times New Roman"/>
          <w:sz w:val="24"/>
          <w:szCs w:val="24"/>
        </w:rPr>
        <w:t>powiadającym efektom uczenia</w:t>
      </w:r>
      <w:r>
        <w:rPr>
          <w:rFonts w:ascii="Times New Roman" w:eastAsiaTheme="minorHAnsi" w:hAnsi="Times New Roman"/>
          <w:sz w:val="24"/>
          <w:szCs w:val="24"/>
        </w:rPr>
        <w:t xml:space="preserve"> zawartym </w:t>
      </w:r>
      <w:r w:rsidR="00E35798">
        <w:rPr>
          <w:rFonts w:ascii="Times New Roman" w:eastAsiaTheme="minorHAnsi" w:hAnsi="Times New Roman"/>
          <w:sz w:val="24"/>
          <w:szCs w:val="24"/>
        </w:rPr>
        <w:t>w programie studiów</w:t>
      </w:r>
      <w:r w:rsidRPr="002862BD">
        <w:rPr>
          <w:rFonts w:ascii="Times New Roman" w:eastAsiaTheme="minorHAnsi" w:hAnsi="Times New Roman"/>
          <w:sz w:val="24"/>
          <w:szCs w:val="24"/>
        </w:rPr>
        <w:t xml:space="preserve"> dla dan</w:t>
      </w:r>
      <w:r w:rsidR="00E35798">
        <w:rPr>
          <w:rFonts w:ascii="Times New Roman" w:eastAsiaTheme="minorHAnsi" w:hAnsi="Times New Roman"/>
          <w:sz w:val="24"/>
          <w:szCs w:val="24"/>
        </w:rPr>
        <w:t>ego kierunku studiów, poziomu i </w:t>
      </w:r>
      <w:r w:rsidRPr="002862BD">
        <w:rPr>
          <w:rFonts w:ascii="Times New Roman" w:eastAsiaTheme="minorHAnsi" w:hAnsi="Times New Roman"/>
          <w:sz w:val="24"/>
          <w:szCs w:val="24"/>
        </w:rPr>
        <w:t>profilu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862BD">
        <w:rPr>
          <w:rFonts w:ascii="Times New Roman" w:eastAsiaTheme="minorHAnsi" w:hAnsi="Times New Roman"/>
          <w:sz w:val="24"/>
          <w:szCs w:val="24"/>
        </w:rPr>
        <w:t>kształcenia.</w:t>
      </w:r>
    </w:p>
    <w:p w14:paraId="176643C6" w14:textId="5C58B984" w:rsidR="001D6FC5" w:rsidRPr="001D6FC5" w:rsidRDefault="001D6FC5" w:rsidP="002862B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1D6FC5">
        <w:rPr>
          <w:rFonts w:ascii="Times New Roman" w:eastAsiaTheme="minorHAnsi" w:hAnsi="Times New Roman"/>
          <w:color w:val="FF0000"/>
          <w:sz w:val="24"/>
          <w:szCs w:val="24"/>
        </w:rPr>
        <w:t>W odniesieniu do praktyk zawodowych potwierdzenie efektów uczenia się odbywa się w oparciu o regulamin praktyk dla danego kierunku.</w:t>
      </w:r>
    </w:p>
    <w:p w14:paraId="0239C564" w14:textId="6E27AECF" w:rsidR="002862BD" w:rsidRDefault="002862BD" w:rsidP="002862B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2862BD">
        <w:rPr>
          <w:rFonts w:ascii="Times New Roman" w:eastAsiaTheme="minorHAnsi" w:hAnsi="Times New Roman"/>
          <w:sz w:val="24"/>
          <w:szCs w:val="24"/>
        </w:rPr>
        <w:t>W wyniku potwierdzania efektów uczenia się można zaliczyć kandydatowi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862BD">
        <w:rPr>
          <w:rFonts w:ascii="Times New Roman" w:eastAsiaTheme="minorHAnsi" w:hAnsi="Times New Roman"/>
          <w:sz w:val="24"/>
          <w:szCs w:val="24"/>
        </w:rPr>
        <w:t>na studia nie więcej niż 50% punktów ECTS, przypisanych do danego programu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A01FF">
        <w:rPr>
          <w:rFonts w:ascii="Times New Roman" w:eastAsiaTheme="minorHAnsi" w:hAnsi="Times New Roman"/>
          <w:sz w:val="24"/>
          <w:szCs w:val="24"/>
        </w:rPr>
        <w:t>studiów</w:t>
      </w:r>
      <w:r w:rsidRPr="002862BD">
        <w:rPr>
          <w:rFonts w:ascii="Times New Roman" w:eastAsiaTheme="minorHAnsi" w:hAnsi="Times New Roman"/>
          <w:sz w:val="24"/>
          <w:szCs w:val="24"/>
        </w:rPr>
        <w:t xml:space="preserve"> określonego kierunku, poziomu i profilu kształceni</w:t>
      </w:r>
      <w:r>
        <w:rPr>
          <w:rFonts w:ascii="Times New Roman" w:eastAsiaTheme="minorHAnsi" w:hAnsi="Times New Roman"/>
          <w:sz w:val="24"/>
          <w:szCs w:val="24"/>
        </w:rPr>
        <w:t>a.</w:t>
      </w:r>
    </w:p>
    <w:p w14:paraId="7D564B84" w14:textId="77777777" w:rsidR="00107467" w:rsidRPr="0041541F" w:rsidRDefault="00107467" w:rsidP="002862B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DA3277">
        <w:rPr>
          <w:rFonts w:ascii="Times New Roman" w:hAnsi="Times New Roman"/>
          <w:bCs/>
          <w:color w:val="000000"/>
          <w:sz w:val="24"/>
          <w:szCs w:val="24"/>
        </w:rPr>
        <w:t>Liczba studentów na danym kierunku, poziomie i profilu kształcenia, którzy zostali przyjęci na studia na podstawie najlepszych wyników uzyskanych w wyniku potwierdzania efektów uczenia się, nie może być większa niż 20% ogólnej liczby studentów na tym kierunku, poziomie i profilu kształcenia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7DA12EAA" w14:textId="1190251F" w:rsidR="006D29D6" w:rsidRPr="00D856B9" w:rsidRDefault="0041541F" w:rsidP="00D856B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W przypadku większej liczby kandydatów o przyjęciu decyduje kolejność zgłoszeń.</w:t>
      </w:r>
      <w:r w:rsidR="001D15E5">
        <w:rPr>
          <w:rFonts w:ascii="Times New Roman" w:hAnsi="Times New Roman"/>
          <w:bCs/>
          <w:color w:val="000000"/>
          <w:sz w:val="24"/>
          <w:szCs w:val="24"/>
        </w:rPr>
        <w:t xml:space="preserve"> Każdy z wniosków otrzymuje numer nadany przez uczelnię.</w:t>
      </w:r>
    </w:p>
    <w:p w14:paraId="028C0EC0" w14:textId="77777777" w:rsidR="00623F9B" w:rsidRDefault="00623F9B" w:rsidP="00A20334">
      <w:pPr>
        <w:spacing w:before="120"/>
        <w:jc w:val="center"/>
        <w:rPr>
          <w:rFonts w:ascii="Times New Roman" w:hAnsi="Times New Roman"/>
          <w:sz w:val="24"/>
          <w:szCs w:val="24"/>
        </w:rPr>
      </w:pPr>
    </w:p>
    <w:p w14:paraId="656CC1FB" w14:textId="77777777" w:rsidR="00A20334" w:rsidRDefault="00A20334" w:rsidP="00A20334">
      <w:pPr>
        <w:spacing w:before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185AB4FE" w14:textId="77777777" w:rsidR="00A20334" w:rsidRPr="00322783" w:rsidRDefault="00A20334" w:rsidP="00A2033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Efekty uczenia się </w:t>
      </w:r>
      <w:r w:rsidR="00322783">
        <w:t>mogą zostać potwierdzone kandydatowi:</w:t>
      </w:r>
    </w:p>
    <w:p w14:paraId="6ADE42F2" w14:textId="77777777" w:rsidR="00322783" w:rsidRDefault="00322783" w:rsidP="00322783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posiadającemu</w:t>
      </w:r>
      <w:r w:rsidRPr="00322783">
        <w:rPr>
          <w:rFonts w:ascii="Times New Roman" w:hAnsi="Times New Roman"/>
          <w:sz w:val="24"/>
          <w:szCs w:val="24"/>
        </w:rPr>
        <w:t xml:space="preserve"> świadectwo dojrzałości i co najmniej pięć lat doświadczenia zawodowego - w przypadku ubiegania się o przyjęcie na studia pierwszego stopnia lub jednolite studia magisterskie;</w:t>
      </w:r>
    </w:p>
    <w:p w14:paraId="6BBB3379" w14:textId="77777777" w:rsidR="00322783" w:rsidRPr="00D91D4E" w:rsidRDefault="00322783" w:rsidP="00322783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91D4E">
        <w:rPr>
          <w:rFonts w:ascii="Times New Roman" w:hAnsi="Times New Roman"/>
          <w:sz w:val="24"/>
          <w:szCs w:val="24"/>
        </w:rPr>
        <w:t>posiadającemu tytuł zawodowy licencjata lub równorzędny i co najmniej trzy lata doświadczenia zawodowego po ukończeniu studiów pierwszego stopnia - w przypadku ubiegania się o przyjęcie na studia drugiego stopnia;</w:t>
      </w:r>
    </w:p>
    <w:p w14:paraId="07B2A903" w14:textId="77777777" w:rsidR="00A20334" w:rsidRPr="00D91D4E" w:rsidRDefault="00322783" w:rsidP="00322783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91D4E">
        <w:rPr>
          <w:rFonts w:ascii="Times New Roman" w:hAnsi="Times New Roman"/>
          <w:sz w:val="24"/>
          <w:szCs w:val="24"/>
        </w:rPr>
        <w:t xml:space="preserve">posiadającemu tytuł zawodowy magistra lub równorzędny i co najmniej dwa lata doświadczenia zawodowego po ukończeniu studiów drugiego stopnia albo jednolitych </w:t>
      </w:r>
      <w:r w:rsidRPr="00D91D4E">
        <w:rPr>
          <w:rFonts w:ascii="Times New Roman" w:hAnsi="Times New Roman"/>
          <w:sz w:val="24"/>
          <w:szCs w:val="24"/>
        </w:rPr>
        <w:lastRenderedPageBreak/>
        <w:t>studiów magisterskich - w przypadku ubiegania się o przyjęcie na kolejny kierunek studiów pierwszego lub drugiego stopnia lub jednolite studia magisterskie</w:t>
      </w:r>
    </w:p>
    <w:p w14:paraId="6C0A9BE6" w14:textId="77777777" w:rsidR="00A20334" w:rsidRPr="00107467" w:rsidRDefault="00107467" w:rsidP="00107467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7467">
        <w:rPr>
          <w:rFonts w:ascii="Times New Roman" w:eastAsiaTheme="minorHAnsi" w:hAnsi="Times New Roman"/>
          <w:sz w:val="24"/>
          <w:szCs w:val="24"/>
        </w:rPr>
        <w:t>W przypadku absolwentów kolegiów nauczycielskich, nauczycielskich kolegiów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107467">
        <w:rPr>
          <w:rFonts w:ascii="Times New Roman" w:eastAsiaTheme="minorHAnsi" w:hAnsi="Times New Roman"/>
          <w:sz w:val="24"/>
          <w:szCs w:val="24"/>
        </w:rPr>
        <w:t>języków obcych oraz kolegiów pracowników służb społecznych przystępujących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107467">
        <w:rPr>
          <w:rFonts w:ascii="Times New Roman" w:eastAsiaTheme="minorHAnsi" w:hAnsi="Times New Roman"/>
          <w:sz w:val="24"/>
          <w:szCs w:val="24"/>
        </w:rPr>
        <w:t>do potwierdzenia efektów uczenia się na studia pierwszego stopnia, nie jest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107467">
        <w:rPr>
          <w:rFonts w:ascii="Times New Roman" w:eastAsiaTheme="minorHAnsi" w:hAnsi="Times New Roman"/>
          <w:sz w:val="24"/>
          <w:szCs w:val="24"/>
        </w:rPr>
        <w:t>wymagane spełnienie warunku pięcioletniego doświadczenia zawodowego</w:t>
      </w:r>
      <w:r w:rsidR="00DA3277" w:rsidRPr="001074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521E9585" w14:textId="77777777" w:rsidR="00623F9B" w:rsidRDefault="00623F9B" w:rsidP="00107467">
      <w:pPr>
        <w:spacing w:before="120"/>
        <w:jc w:val="center"/>
        <w:rPr>
          <w:rFonts w:ascii="Times New Roman" w:hAnsi="Times New Roman"/>
          <w:sz w:val="24"/>
          <w:szCs w:val="24"/>
        </w:rPr>
      </w:pPr>
    </w:p>
    <w:p w14:paraId="514B5AE3" w14:textId="77777777" w:rsidR="00107467" w:rsidRDefault="00440482" w:rsidP="00107467">
      <w:pPr>
        <w:spacing w:before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14:paraId="52EA89B6" w14:textId="77777777" w:rsidR="00107467" w:rsidRDefault="00107467" w:rsidP="0096496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4961">
        <w:rPr>
          <w:rFonts w:ascii="Times New Roman" w:hAnsi="Times New Roman"/>
          <w:sz w:val="24"/>
          <w:szCs w:val="24"/>
        </w:rPr>
        <w:t xml:space="preserve">Przeprowadzanie potwierdzania efektów </w:t>
      </w:r>
      <w:r w:rsidR="000101EA" w:rsidRPr="00964961">
        <w:rPr>
          <w:rFonts w:ascii="Times New Roman" w:hAnsi="Times New Roman"/>
          <w:sz w:val="24"/>
          <w:szCs w:val="24"/>
        </w:rPr>
        <w:t>uczenia</w:t>
      </w:r>
      <w:r w:rsidRPr="00964961">
        <w:rPr>
          <w:rFonts w:ascii="Times New Roman" w:hAnsi="Times New Roman"/>
          <w:sz w:val="24"/>
          <w:szCs w:val="24"/>
        </w:rPr>
        <w:t xml:space="preserve"> się jest odpłatne.</w:t>
      </w:r>
    </w:p>
    <w:p w14:paraId="0AB1DD64" w14:textId="77777777" w:rsidR="00DC2D4D" w:rsidRDefault="00DC2D4D" w:rsidP="0096496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Zasady pobierania opłat </w:t>
      </w:r>
      <w:r w:rsidR="00F537F9">
        <w:rPr>
          <w:rFonts w:ascii="Times New Roman" w:hAnsi="Times New Roman"/>
          <w:sz w:val="24"/>
          <w:szCs w:val="24"/>
        </w:rPr>
        <w:t xml:space="preserve">za przeprowadzanie potwierdzania efektów uczenia się </w:t>
      </w:r>
      <w:r>
        <w:rPr>
          <w:rFonts w:ascii="Times New Roman" w:hAnsi="Times New Roman"/>
          <w:sz w:val="24"/>
          <w:szCs w:val="24"/>
        </w:rPr>
        <w:t>i ich wysokość okre</w:t>
      </w:r>
      <w:r w:rsidR="00F537F9">
        <w:rPr>
          <w:rFonts w:ascii="Times New Roman" w:hAnsi="Times New Roman"/>
          <w:sz w:val="24"/>
          <w:szCs w:val="24"/>
        </w:rPr>
        <w:t>śla rektor</w:t>
      </w:r>
      <w:r>
        <w:rPr>
          <w:rFonts w:ascii="Times New Roman" w:hAnsi="Times New Roman"/>
          <w:sz w:val="24"/>
          <w:szCs w:val="24"/>
        </w:rPr>
        <w:t>.</w:t>
      </w:r>
    </w:p>
    <w:p w14:paraId="648709BC" w14:textId="77777777" w:rsidR="00F537F9" w:rsidRPr="00964961" w:rsidRDefault="00F537F9" w:rsidP="0096496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Kandydat wnosi opłatę przed przystąpieniem do postępowania w sprawie potwierdzania efektów uczenia się.</w:t>
      </w:r>
    </w:p>
    <w:p w14:paraId="7A5AEAE1" w14:textId="77777777" w:rsidR="00623F9B" w:rsidRDefault="00623F9B" w:rsidP="00322783">
      <w:pPr>
        <w:spacing w:before="120"/>
        <w:jc w:val="center"/>
        <w:rPr>
          <w:rFonts w:ascii="Times New Roman" w:hAnsi="Times New Roman"/>
          <w:sz w:val="24"/>
          <w:szCs w:val="24"/>
        </w:rPr>
      </w:pPr>
    </w:p>
    <w:p w14:paraId="6B5977E7" w14:textId="77777777" w:rsidR="00322783" w:rsidRDefault="00440482" w:rsidP="00322783">
      <w:pPr>
        <w:spacing w:before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</w:p>
    <w:p w14:paraId="6259D572" w14:textId="12D8E1BA" w:rsidR="0023100E" w:rsidRDefault="0023100E" w:rsidP="004A668B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Promocją postępowania związanego z potwierdzaniem e</w:t>
      </w:r>
      <w:r w:rsidR="00736219">
        <w:rPr>
          <w:rFonts w:ascii="Times New Roman" w:hAnsi="Times New Roman"/>
          <w:sz w:val="24"/>
          <w:szCs w:val="24"/>
        </w:rPr>
        <w:t>fektów uczenia się zajmuje się  </w:t>
      </w:r>
      <w:r w:rsidR="009478A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pecjalista do spraw promocji uczelni oraz Centrum Rekrutacji.</w:t>
      </w:r>
    </w:p>
    <w:p w14:paraId="33902B56" w14:textId="77777777" w:rsidR="00730A77" w:rsidRPr="00730A77" w:rsidRDefault="00A453AB" w:rsidP="005310B6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730A77">
        <w:rPr>
          <w:rFonts w:ascii="Times New Roman" w:hAnsi="Times New Roman"/>
          <w:sz w:val="24"/>
          <w:szCs w:val="24"/>
        </w:rPr>
        <w:t xml:space="preserve">O warunkach przeprowadzania potwierdzania efektów uczenia się i opłatach </w:t>
      </w:r>
      <w:r w:rsidR="004A668B" w:rsidRPr="00730A77">
        <w:rPr>
          <w:rFonts w:ascii="Times New Roman" w:hAnsi="Times New Roman"/>
          <w:sz w:val="24"/>
          <w:szCs w:val="24"/>
        </w:rPr>
        <w:t>informuje kandydata</w:t>
      </w:r>
      <w:r w:rsidRPr="00730A77">
        <w:rPr>
          <w:rFonts w:ascii="Times New Roman" w:hAnsi="Times New Roman"/>
          <w:sz w:val="24"/>
          <w:szCs w:val="24"/>
        </w:rPr>
        <w:t xml:space="preserve"> Centrum Rekrutacji</w:t>
      </w:r>
      <w:r w:rsidR="0023100E" w:rsidRPr="00730A77">
        <w:rPr>
          <w:rFonts w:ascii="Times New Roman" w:hAnsi="Times New Roman"/>
          <w:sz w:val="24"/>
          <w:szCs w:val="24"/>
        </w:rPr>
        <w:t xml:space="preserve"> oraz dziekanaty</w:t>
      </w:r>
      <w:r w:rsidR="004A668B" w:rsidRPr="00730A77">
        <w:rPr>
          <w:rFonts w:ascii="Times New Roman" w:hAnsi="Times New Roman"/>
          <w:sz w:val="24"/>
          <w:szCs w:val="24"/>
        </w:rPr>
        <w:t>.</w:t>
      </w:r>
    </w:p>
    <w:p w14:paraId="24E945C9" w14:textId="4A5E4050" w:rsidR="005310B6" w:rsidRPr="00730A77" w:rsidRDefault="005310B6" w:rsidP="005310B6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0A77">
        <w:rPr>
          <w:rFonts w:ascii="Times New Roman" w:hAnsi="Times New Roman"/>
          <w:sz w:val="24"/>
          <w:szCs w:val="24"/>
        </w:rPr>
        <w:t>Kandydat składa wniosek o potwierdzenie efektów uczenia się zgodnie z formul</w:t>
      </w:r>
      <w:r w:rsidR="005A100E">
        <w:rPr>
          <w:rFonts w:ascii="Times New Roman" w:hAnsi="Times New Roman"/>
          <w:sz w:val="24"/>
          <w:szCs w:val="24"/>
        </w:rPr>
        <w:t>arzem zawartym w załączniku do</w:t>
      </w:r>
      <w:r w:rsidRPr="00730A77">
        <w:rPr>
          <w:rFonts w:ascii="Times New Roman" w:hAnsi="Times New Roman"/>
          <w:sz w:val="24"/>
          <w:szCs w:val="24"/>
        </w:rPr>
        <w:t xml:space="preserve"> niniejszej uchwały wskazując </w:t>
      </w:r>
      <w:r w:rsidRPr="00730A77">
        <w:rPr>
          <w:rFonts w:ascii="Times New Roman" w:eastAsiaTheme="minorHAnsi" w:hAnsi="Times New Roman"/>
          <w:sz w:val="24"/>
          <w:szCs w:val="24"/>
        </w:rPr>
        <w:t>przedmiot/modu</w:t>
      </w:r>
      <w:r w:rsidR="00736219">
        <w:rPr>
          <w:rFonts w:ascii="Times New Roman" w:eastAsiaTheme="minorHAnsi" w:hAnsi="Times New Roman"/>
          <w:sz w:val="24"/>
          <w:szCs w:val="24"/>
        </w:rPr>
        <w:t>ł zajęć, które ma </w:t>
      </w:r>
      <w:r w:rsidR="00E85BDA">
        <w:rPr>
          <w:rFonts w:ascii="Times New Roman" w:eastAsiaTheme="minorHAnsi" w:hAnsi="Times New Roman"/>
          <w:sz w:val="24"/>
          <w:szCs w:val="24"/>
        </w:rPr>
        <w:t>podlegać postę</w:t>
      </w:r>
      <w:r w:rsidRPr="00730A77">
        <w:rPr>
          <w:rFonts w:ascii="Times New Roman" w:eastAsiaTheme="minorHAnsi" w:hAnsi="Times New Roman"/>
          <w:sz w:val="24"/>
          <w:szCs w:val="24"/>
        </w:rPr>
        <w:t>powaniu w sprawie potwierdzenia efektów uczenia się.</w:t>
      </w:r>
    </w:p>
    <w:p w14:paraId="49F12A98" w14:textId="77777777" w:rsidR="00686A8B" w:rsidRPr="00686A8B" w:rsidRDefault="004A668B" w:rsidP="003C519B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6A8B">
        <w:rPr>
          <w:rFonts w:ascii="Times New Roman" w:hAnsi="Times New Roman"/>
          <w:sz w:val="24"/>
          <w:szCs w:val="24"/>
        </w:rPr>
        <w:t xml:space="preserve">Do wniosku </w:t>
      </w:r>
      <w:r w:rsidR="00686A8B" w:rsidRPr="00686A8B">
        <w:rPr>
          <w:rFonts w:ascii="Times New Roman" w:hAnsi="Times New Roman"/>
          <w:sz w:val="24"/>
          <w:szCs w:val="24"/>
        </w:rPr>
        <w:t xml:space="preserve">kandydat </w:t>
      </w:r>
      <w:r w:rsidR="00686A8B" w:rsidRPr="00686A8B">
        <w:rPr>
          <w:rFonts w:ascii="Times New Roman" w:hAnsi="Times New Roman"/>
          <w:bCs/>
          <w:sz w:val="24"/>
          <w:szCs w:val="24"/>
        </w:rPr>
        <w:t>załącza:</w:t>
      </w:r>
    </w:p>
    <w:p w14:paraId="43FBD4E5" w14:textId="77777777" w:rsidR="000101EA" w:rsidRDefault="00686A8B" w:rsidP="000101EA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86A8B">
        <w:rPr>
          <w:rFonts w:ascii="Times New Roman" w:hAnsi="Times New Roman"/>
          <w:bCs/>
          <w:sz w:val="24"/>
          <w:szCs w:val="24"/>
        </w:rPr>
        <w:t xml:space="preserve">świadectwo dojrzałości </w:t>
      </w:r>
      <w:r w:rsidR="000101EA">
        <w:rPr>
          <w:rFonts w:ascii="Times New Roman" w:hAnsi="Times New Roman"/>
          <w:bCs/>
          <w:sz w:val="24"/>
          <w:szCs w:val="24"/>
        </w:rPr>
        <w:t xml:space="preserve">- </w:t>
      </w:r>
      <w:r w:rsidRPr="00686A8B">
        <w:rPr>
          <w:rFonts w:ascii="Times New Roman" w:hAnsi="Times New Roman"/>
          <w:bCs/>
          <w:sz w:val="24"/>
          <w:szCs w:val="24"/>
        </w:rPr>
        <w:t xml:space="preserve">dla kandydatów na </w:t>
      </w:r>
      <w:r w:rsidR="000101EA" w:rsidRPr="00322783">
        <w:rPr>
          <w:rFonts w:ascii="Times New Roman" w:hAnsi="Times New Roman"/>
          <w:sz w:val="24"/>
          <w:szCs w:val="24"/>
        </w:rPr>
        <w:t>studia pierwszego stopnia lub jednolite studia magisterskie;</w:t>
      </w:r>
    </w:p>
    <w:p w14:paraId="2F234091" w14:textId="77777777" w:rsidR="00686A8B" w:rsidRPr="000101EA" w:rsidRDefault="00686A8B" w:rsidP="000101EA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101EA">
        <w:rPr>
          <w:rFonts w:ascii="Times New Roman" w:hAnsi="Times New Roman"/>
          <w:bCs/>
          <w:sz w:val="24"/>
          <w:szCs w:val="24"/>
        </w:rPr>
        <w:t xml:space="preserve">dyplom licencjata </w:t>
      </w:r>
      <w:r w:rsidR="000101EA">
        <w:rPr>
          <w:rFonts w:ascii="Times New Roman" w:hAnsi="Times New Roman"/>
          <w:bCs/>
          <w:sz w:val="24"/>
          <w:szCs w:val="24"/>
        </w:rPr>
        <w:t xml:space="preserve">lub równorzędny - </w:t>
      </w:r>
      <w:r w:rsidRPr="000101EA">
        <w:rPr>
          <w:rFonts w:ascii="Times New Roman" w:hAnsi="Times New Roman"/>
          <w:bCs/>
          <w:sz w:val="24"/>
          <w:szCs w:val="24"/>
        </w:rPr>
        <w:t>dla kandydatów na</w:t>
      </w:r>
      <w:r w:rsidR="000101EA">
        <w:rPr>
          <w:rFonts w:ascii="Times New Roman" w:hAnsi="Times New Roman"/>
          <w:bCs/>
          <w:sz w:val="24"/>
          <w:szCs w:val="24"/>
        </w:rPr>
        <w:t xml:space="preserve"> </w:t>
      </w:r>
      <w:r w:rsidR="000101EA" w:rsidRPr="00322783">
        <w:rPr>
          <w:rFonts w:ascii="Times New Roman" w:hAnsi="Times New Roman"/>
          <w:sz w:val="24"/>
          <w:szCs w:val="24"/>
        </w:rPr>
        <w:t xml:space="preserve">studia </w:t>
      </w:r>
      <w:r w:rsidR="000101EA">
        <w:rPr>
          <w:rFonts w:ascii="Times New Roman" w:hAnsi="Times New Roman"/>
          <w:sz w:val="24"/>
          <w:szCs w:val="24"/>
        </w:rPr>
        <w:t>drugiego</w:t>
      </w:r>
      <w:r w:rsidR="000101EA" w:rsidRPr="00322783">
        <w:rPr>
          <w:rFonts w:ascii="Times New Roman" w:hAnsi="Times New Roman"/>
          <w:sz w:val="24"/>
          <w:szCs w:val="24"/>
        </w:rPr>
        <w:t xml:space="preserve"> stopnia</w:t>
      </w:r>
      <w:r w:rsidRPr="000101EA">
        <w:rPr>
          <w:rFonts w:ascii="Times New Roman" w:hAnsi="Times New Roman"/>
          <w:bCs/>
          <w:sz w:val="24"/>
          <w:szCs w:val="24"/>
        </w:rPr>
        <w:t>;</w:t>
      </w:r>
    </w:p>
    <w:p w14:paraId="7670B950" w14:textId="77777777" w:rsidR="00686A8B" w:rsidRPr="000101EA" w:rsidRDefault="00686A8B" w:rsidP="000101EA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101EA">
        <w:rPr>
          <w:rFonts w:ascii="Times New Roman" w:hAnsi="Times New Roman"/>
          <w:bCs/>
          <w:sz w:val="24"/>
          <w:szCs w:val="24"/>
        </w:rPr>
        <w:t xml:space="preserve">dyplom magistra </w:t>
      </w:r>
      <w:r w:rsidR="000101EA">
        <w:rPr>
          <w:rFonts w:ascii="Times New Roman" w:hAnsi="Times New Roman"/>
          <w:bCs/>
          <w:sz w:val="24"/>
          <w:szCs w:val="24"/>
        </w:rPr>
        <w:t xml:space="preserve">lub równorzędny - </w:t>
      </w:r>
      <w:r w:rsidRPr="000101EA">
        <w:rPr>
          <w:rFonts w:ascii="Times New Roman" w:hAnsi="Times New Roman"/>
          <w:bCs/>
          <w:sz w:val="24"/>
          <w:szCs w:val="24"/>
        </w:rPr>
        <w:t xml:space="preserve">dla kandydatów na kolejny kierunek </w:t>
      </w:r>
      <w:r w:rsidR="000101EA">
        <w:rPr>
          <w:rFonts w:ascii="Times New Roman" w:hAnsi="Times New Roman"/>
          <w:bCs/>
          <w:sz w:val="24"/>
          <w:szCs w:val="24"/>
        </w:rPr>
        <w:t>studiów pierwszego lub drugiego stopnia lub kolejne jednolite studia magisterskie</w:t>
      </w:r>
      <w:r w:rsidRPr="000101EA">
        <w:rPr>
          <w:rFonts w:ascii="Times New Roman" w:hAnsi="Times New Roman"/>
          <w:bCs/>
          <w:sz w:val="24"/>
          <w:szCs w:val="24"/>
        </w:rPr>
        <w:t>;</w:t>
      </w:r>
    </w:p>
    <w:p w14:paraId="5D822C92" w14:textId="67487BF5" w:rsidR="000101EA" w:rsidRPr="0069523A" w:rsidRDefault="000101EA" w:rsidP="000101EA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dokument lub dokumenty potwierdzające wymagany staż pracy</w:t>
      </w:r>
      <w:r w:rsidR="00286E66" w:rsidRPr="00286E66">
        <w:rPr>
          <w:rFonts w:ascii="Times New Roman" w:eastAsiaTheme="minorHAnsi" w:hAnsi="Times New Roman"/>
          <w:sz w:val="24"/>
          <w:szCs w:val="24"/>
        </w:rPr>
        <w:t xml:space="preserve"> </w:t>
      </w:r>
      <w:r w:rsidR="00286E66">
        <w:rPr>
          <w:rFonts w:ascii="Times New Roman" w:eastAsiaTheme="minorHAnsi" w:hAnsi="Times New Roman"/>
          <w:sz w:val="24"/>
          <w:szCs w:val="24"/>
        </w:rPr>
        <w:t xml:space="preserve">- </w:t>
      </w:r>
      <w:r w:rsidR="00930596">
        <w:rPr>
          <w:rFonts w:ascii="Times New Roman" w:eastAsiaTheme="minorHAnsi" w:hAnsi="Times New Roman"/>
          <w:sz w:val="24"/>
          <w:szCs w:val="24"/>
        </w:rPr>
        <w:t>zaświadczenie z </w:t>
      </w:r>
      <w:r w:rsidR="00286E66" w:rsidRPr="00CD5C9A">
        <w:rPr>
          <w:rFonts w:ascii="Times New Roman" w:eastAsiaTheme="minorHAnsi" w:hAnsi="Times New Roman"/>
          <w:sz w:val="24"/>
          <w:szCs w:val="24"/>
        </w:rPr>
        <w:t xml:space="preserve">zakładu pracy, </w:t>
      </w:r>
      <w:r w:rsidR="00286E66">
        <w:rPr>
          <w:rFonts w:ascii="Times New Roman" w:eastAsiaTheme="minorHAnsi" w:hAnsi="Times New Roman"/>
          <w:sz w:val="24"/>
          <w:szCs w:val="24"/>
        </w:rPr>
        <w:t xml:space="preserve">świadectwo pracy, umowa o pracę </w:t>
      </w:r>
      <w:r w:rsidR="00286E66" w:rsidRPr="00CD5C9A">
        <w:rPr>
          <w:rFonts w:ascii="Times New Roman" w:eastAsiaTheme="minorHAnsi" w:hAnsi="Times New Roman"/>
          <w:sz w:val="24"/>
          <w:szCs w:val="24"/>
        </w:rPr>
        <w:t xml:space="preserve">potwierdzające wymagany staż pracy </w:t>
      </w:r>
      <w:r w:rsidR="00286E66" w:rsidRPr="00730A77">
        <w:rPr>
          <w:rFonts w:ascii="Times New Roman" w:eastAsiaTheme="minorHAnsi" w:hAnsi="Times New Roman"/>
          <w:sz w:val="24"/>
          <w:szCs w:val="24"/>
        </w:rPr>
        <w:t>zawodowej</w:t>
      </w:r>
      <w:r w:rsidR="00730A77" w:rsidRPr="00730A77">
        <w:rPr>
          <w:rFonts w:ascii="Times New Roman" w:eastAsiaTheme="minorHAnsi" w:hAnsi="Times New Roman"/>
          <w:sz w:val="24"/>
          <w:szCs w:val="24"/>
        </w:rPr>
        <w:t>,</w:t>
      </w:r>
      <w:r w:rsidR="0069523A" w:rsidRPr="00730A77">
        <w:rPr>
          <w:rFonts w:ascii="Times New Roman" w:eastAsiaTheme="minorHAnsi" w:hAnsi="Times New Roman"/>
          <w:sz w:val="24"/>
          <w:szCs w:val="24"/>
        </w:rPr>
        <w:t xml:space="preserve"> zaświadczenie o wpisie do Cent</w:t>
      </w:r>
      <w:r w:rsidR="00930596">
        <w:rPr>
          <w:rFonts w:ascii="Times New Roman" w:eastAsiaTheme="minorHAnsi" w:hAnsi="Times New Roman"/>
          <w:sz w:val="24"/>
          <w:szCs w:val="24"/>
        </w:rPr>
        <w:t>ralnej Ewidencji i Informacji o </w:t>
      </w:r>
      <w:r w:rsidR="0069523A" w:rsidRPr="00730A77">
        <w:rPr>
          <w:rFonts w:ascii="Times New Roman" w:eastAsiaTheme="minorHAnsi" w:hAnsi="Times New Roman"/>
          <w:sz w:val="24"/>
          <w:szCs w:val="24"/>
        </w:rPr>
        <w:t>Działalności Gospodarczej</w:t>
      </w:r>
      <w:r w:rsidR="00730A77">
        <w:rPr>
          <w:rFonts w:ascii="Times New Roman" w:eastAsiaTheme="minorHAnsi" w:hAnsi="Times New Roman"/>
          <w:sz w:val="24"/>
          <w:szCs w:val="24"/>
        </w:rPr>
        <w:t>;</w:t>
      </w:r>
      <w:r w:rsidR="0069523A" w:rsidRPr="00730A77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5F4B647" w14:textId="77777777" w:rsidR="000101EA" w:rsidRPr="000101EA" w:rsidRDefault="000101EA" w:rsidP="000101EA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86A8B">
        <w:rPr>
          <w:rFonts w:ascii="Times New Roman" w:hAnsi="Times New Roman"/>
          <w:bCs/>
          <w:sz w:val="24"/>
          <w:szCs w:val="24"/>
        </w:rPr>
        <w:t xml:space="preserve">dokumenty pozwalające ocenić wiedzę, umiejętności i kompetencje społeczne wnioskodawcy nabyte w systemach uczenia się zorganizowanego </w:t>
      </w:r>
      <w:r>
        <w:rPr>
          <w:rFonts w:ascii="Times New Roman" w:hAnsi="Times New Roman"/>
          <w:bCs/>
          <w:sz w:val="24"/>
          <w:szCs w:val="24"/>
        </w:rPr>
        <w:t xml:space="preserve">instytucjonalnie poza systemem studiów </w:t>
      </w:r>
      <w:r w:rsidRPr="00686A8B">
        <w:rPr>
          <w:rFonts w:ascii="Times New Roman" w:hAnsi="Times New Roman"/>
          <w:bCs/>
          <w:sz w:val="24"/>
          <w:szCs w:val="24"/>
        </w:rPr>
        <w:t>lub niezorganizowanego instytucjonalnie</w:t>
      </w:r>
      <w:r w:rsidR="00FC0A5E">
        <w:rPr>
          <w:rFonts w:ascii="Times New Roman" w:hAnsi="Times New Roman"/>
          <w:bCs/>
          <w:sz w:val="24"/>
          <w:szCs w:val="24"/>
        </w:rPr>
        <w:t>;</w:t>
      </w:r>
    </w:p>
    <w:p w14:paraId="72A7F168" w14:textId="523E812A" w:rsidR="000101EA" w:rsidRPr="000101EA" w:rsidRDefault="000101EA" w:rsidP="000101EA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potwierdzenie wniesienia opłaty za </w:t>
      </w:r>
      <w:r>
        <w:rPr>
          <w:rFonts w:ascii="Times New Roman" w:hAnsi="Times New Roman"/>
          <w:sz w:val="24"/>
          <w:szCs w:val="24"/>
        </w:rPr>
        <w:t>p</w:t>
      </w:r>
      <w:r w:rsidRPr="00107467">
        <w:rPr>
          <w:rFonts w:ascii="Times New Roman" w:hAnsi="Times New Roman"/>
          <w:sz w:val="24"/>
          <w:szCs w:val="24"/>
        </w:rPr>
        <w:t xml:space="preserve">rzeprowadzanie potwierdzania efektów </w:t>
      </w:r>
      <w:r w:rsidR="00CD5C9A">
        <w:rPr>
          <w:rFonts w:ascii="Times New Roman" w:hAnsi="Times New Roman"/>
          <w:sz w:val="24"/>
          <w:szCs w:val="24"/>
        </w:rPr>
        <w:t xml:space="preserve">uczenia </w:t>
      </w:r>
      <w:r w:rsidRPr="00107467">
        <w:rPr>
          <w:rFonts w:ascii="Times New Roman" w:hAnsi="Times New Roman"/>
          <w:sz w:val="24"/>
          <w:szCs w:val="24"/>
        </w:rPr>
        <w:t>się</w:t>
      </w:r>
      <w:r w:rsidR="00730A77">
        <w:rPr>
          <w:rFonts w:ascii="Times New Roman" w:hAnsi="Times New Roman"/>
          <w:sz w:val="24"/>
          <w:szCs w:val="24"/>
        </w:rPr>
        <w:t>.</w:t>
      </w:r>
      <w:r w:rsidR="00CD5C9A">
        <w:rPr>
          <w:rFonts w:ascii="Times New Roman" w:hAnsi="Times New Roman"/>
          <w:sz w:val="24"/>
          <w:szCs w:val="24"/>
        </w:rPr>
        <w:t xml:space="preserve"> </w:t>
      </w:r>
    </w:p>
    <w:p w14:paraId="2FE51473" w14:textId="77777777" w:rsidR="00CD5C9A" w:rsidRPr="00286E66" w:rsidRDefault="00CD5C9A" w:rsidP="00CD5C9A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5C9A">
        <w:rPr>
          <w:rFonts w:ascii="Times New Roman" w:eastAsiaTheme="minorHAnsi" w:hAnsi="Times New Roman"/>
          <w:sz w:val="24"/>
          <w:szCs w:val="24"/>
        </w:rPr>
        <w:t>Dokumentację, o</w:t>
      </w:r>
      <w:r w:rsidR="00286E66">
        <w:rPr>
          <w:rFonts w:ascii="Times New Roman" w:eastAsiaTheme="minorHAnsi" w:hAnsi="Times New Roman"/>
          <w:sz w:val="24"/>
          <w:szCs w:val="24"/>
        </w:rPr>
        <w:t xml:space="preserve"> której mowa w ust. 1 pkt.</w:t>
      </w:r>
      <w:r>
        <w:rPr>
          <w:rFonts w:ascii="Times New Roman" w:eastAsiaTheme="minorHAnsi" w:hAnsi="Times New Roman"/>
          <w:sz w:val="24"/>
          <w:szCs w:val="24"/>
        </w:rPr>
        <w:t xml:space="preserve">5 </w:t>
      </w:r>
      <w:r w:rsidRPr="00CD5C9A">
        <w:rPr>
          <w:rFonts w:ascii="Times New Roman" w:eastAsiaTheme="minorHAnsi" w:hAnsi="Times New Roman"/>
          <w:sz w:val="24"/>
          <w:szCs w:val="24"/>
        </w:rPr>
        <w:t>stanowi portfolio zawierające:</w:t>
      </w:r>
    </w:p>
    <w:p w14:paraId="024E4863" w14:textId="6CA19E7E" w:rsidR="00CD5C9A" w:rsidRPr="00286E66" w:rsidRDefault="00286E66" w:rsidP="00BE2919">
      <w:pPr>
        <w:pStyle w:val="Akapitzlist"/>
        <w:numPr>
          <w:ilvl w:val="1"/>
          <w:numId w:val="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86E66">
        <w:rPr>
          <w:rFonts w:ascii="Times New Roman" w:eastAsiaTheme="minorHAnsi" w:hAnsi="Times New Roman"/>
          <w:sz w:val="24"/>
          <w:szCs w:val="24"/>
        </w:rPr>
        <w:t xml:space="preserve">w przypadku dokumentowania </w:t>
      </w:r>
      <w:r w:rsidRPr="00286E66">
        <w:rPr>
          <w:rFonts w:ascii="Times New Roman" w:eastAsiaTheme="minorHAnsi" w:hAnsi="Times New Roman"/>
          <w:bCs/>
          <w:sz w:val="24"/>
          <w:szCs w:val="24"/>
        </w:rPr>
        <w:t>uczenia si</w:t>
      </w:r>
      <w:r w:rsidRPr="00286E66">
        <w:rPr>
          <w:rFonts w:ascii="Times New Roman" w:eastAsiaTheme="minorHAnsi" w:hAnsi="Times New Roman"/>
          <w:sz w:val="24"/>
          <w:szCs w:val="24"/>
        </w:rPr>
        <w:t xml:space="preserve">ę </w:t>
      </w:r>
      <w:r w:rsidRPr="00286E66">
        <w:rPr>
          <w:rFonts w:ascii="Times New Roman" w:eastAsiaTheme="minorHAnsi" w:hAnsi="Times New Roman"/>
          <w:bCs/>
          <w:sz w:val="24"/>
          <w:szCs w:val="24"/>
        </w:rPr>
        <w:t>zorganizowanego instytucjonalnie poza systemem studiów:</w:t>
      </w:r>
    </w:p>
    <w:p w14:paraId="103BB1D2" w14:textId="7DF50584" w:rsidR="00CD5C9A" w:rsidRPr="00FC0A5E" w:rsidRDefault="00CD5C9A" w:rsidP="00FC0A5E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B6E85">
        <w:rPr>
          <w:rFonts w:ascii="Times New Roman" w:eastAsiaTheme="minorHAnsi" w:hAnsi="Times New Roman"/>
          <w:sz w:val="24"/>
          <w:szCs w:val="24"/>
        </w:rPr>
        <w:lastRenderedPageBreak/>
        <w:t>certyfikaty, świadectwa</w:t>
      </w:r>
      <w:r w:rsidR="004B6E85" w:rsidRPr="004B6E85">
        <w:rPr>
          <w:rFonts w:ascii="Times New Roman" w:eastAsiaTheme="minorHAnsi" w:hAnsi="Times New Roman"/>
          <w:sz w:val="24"/>
          <w:szCs w:val="24"/>
        </w:rPr>
        <w:t>, dyplomy</w:t>
      </w:r>
      <w:r w:rsidR="00D856B9">
        <w:rPr>
          <w:rFonts w:ascii="Times New Roman" w:eastAsiaTheme="minorHAnsi" w:hAnsi="Times New Roman"/>
          <w:sz w:val="24"/>
          <w:szCs w:val="24"/>
        </w:rPr>
        <w:t xml:space="preserve"> i</w:t>
      </w:r>
      <w:r w:rsidR="004B6E85" w:rsidRPr="004B6E85">
        <w:rPr>
          <w:rFonts w:ascii="Times New Roman" w:eastAsiaTheme="minorHAnsi" w:hAnsi="Times New Roman"/>
          <w:sz w:val="24"/>
          <w:szCs w:val="24"/>
        </w:rPr>
        <w:t xml:space="preserve"> inne</w:t>
      </w:r>
      <w:r w:rsidRPr="004B6E85">
        <w:rPr>
          <w:rFonts w:ascii="Times New Roman" w:eastAsiaTheme="minorHAnsi" w:hAnsi="Times New Roman"/>
          <w:sz w:val="24"/>
          <w:szCs w:val="24"/>
        </w:rPr>
        <w:t xml:space="preserve"> za</w:t>
      </w:r>
      <w:r w:rsidR="00D856B9">
        <w:rPr>
          <w:rFonts w:ascii="Times New Roman" w:eastAsiaTheme="minorHAnsi" w:hAnsi="Times New Roman"/>
          <w:sz w:val="24"/>
          <w:szCs w:val="24"/>
        </w:rPr>
        <w:t>świ</w:t>
      </w:r>
      <w:r w:rsidR="003361CC">
        <w:rPr>
          <w:rFonts w:ascii="Times New Roman" w:eastAsiaTheme="minorHAnsi" w:hAnsi="Times New Roman"/>
          <w:sz w:val="24"/>
          <w:szCs w:val="24"/>
        </w:rPr>
        <w:t>adczenia ukończonych kursów lub </w:t>
      </w:r>
      <w:r w:rsidRPr="004B6E85">
        <w:rPr>
          <w:rFonts w:ascii="Times New Roman" w:eastAsiaTheme="minorHAnsi" w:hAnsi="Times New Roman"/>
          <w:sz w:val="24"/>
          <w:szCs w:val="24"/>
        </w:rPr>
        <w:t>szkoleń</w:t>
      </w:r>
      <w:r w:rsidR="004B6E85" w:rsidRPr="004B6E85">
        <w:rPr>
          <w:rFonts w:ascii="Times New Roman" w:eastAsiaTheme="minorHAnsi" w:hAnsi="Times New Roman"/>
          <w:sz w:val="24"/>
          <w:szCs w:val="24"/>
        </w:rPr>
        <w:t xml:space="preserve">, </w:t>
      </w:r>
      <w:r w:rsidR="004B6E85" w:rsidRPr="004B6E85">
        <w:rPr>
          <w:rFonts w:ascii="Times New Roman" w:hAnsi="Times New Roman"/>
          <w:bCs/>
          <w:color w:val="000000"/>
          <w:sz w:val="24"/>
          <w:szCs w:val="24"/>
        </w:rPr>
        <w:t>w których nakład pracy poniesiony przez wnioskodawcę jest zbliżony do nakładu pracy niezbędnego do uzyskania zakładanych</w:t>
      </w:r>
      <w:r w:rsidR="008D4755">
        <w:rPr>
          <w:rFonts w:ascii="Times New Roman" w:hAnsi="Times New Roman"/>
          <w:bCs/>
          <w:color w:val="000000"/>
          <w:sz w:val="24"/>
          <w:szCs w:val="24"/>
        </w:rPr>
        <w:t xml:space="preserve"> efektów uczenia</w:t>
      </w:r>
      <w:r w:rsidR="003361CC">
        <w:rPr>
          <w:rFonts w:ascii="Times New Roman" w:hAnsi="Times New Roman"/>
          <w:bCs/>
          <w:color w:val="000000"/>
          <w:sz w:val="24"/>
          <w:szCs w:val="24"/>
        </w:rPr>
        <w:t xml:space="preserve"> z </w:t>
      </w:r>
      <w:r w:rsidR="00930596">
        <w:rPr>
          <w:rFonts w:ascii="Times New Roman" w:hAnsi="Times New Roman"/>
          <w:bCs/>
          <w:color w:val="000000"/>
          <w:sz w:val="24"/>
          <w:szCs w:val="24"/>
        </w:rPr>
        <w:t>zajęć, o </w:t>
      </w:r>
      <w:r w:rsidR="004B6E85" w:rsidRPr="004B6E85">
        <w:rPr>
          <w:rFonts w:ascii="Times New Roman" w:hAnsi="Times New Roman"/>
          <w:bCs/>
          <w:color w:val="000000"/>
          <w:sz w:val="24"/>
          <w:szCs w:val="24"/>
        </w:rPr>
        <w:t>zaliczenie których ubiega się wnioskodawca, a ponadto istn</w:t>
      </w:r>
      <w:r w:rsidR="00D856B9">
        <w:rPr>
          <w:rFonts w:ascii="Times New Roman" w:hAnsi="Times New Roman"/>
          <w:bCs/>
          <w:color w:val="000000"/>
          <w:sz w:val="24"/>
          <w:szCs w:val="24"/>
        </w:rPr>
        <w:t>ieje zbieżność programu kursów i</w:t>
      </w:r>
      <w:r w:rsidR="004B6E85" w:rsidRPr="004B6E85">
        <w:rPr>
          <w:rFonts w:ascii="Times New Roman" w:hAnsi="Times New Roman"/>
          <w:bCs/>
          <w:color w:val="000000"/>
          <w:sz w:val="24"/>
          <w:szCs w:val="24"/>
        </w:rPr>
        <w:t xml:space="preserve"> szkoleń z zakresem tematycz</w:t>
      </w:r>
      <w:r w:rsidR="00930596">
        <w:rPr>
          <w:rFonts w:ascii="Times New Roman" w:hAnsi="Times New Roman"/>
          <w:bCs/>
          <w:color w:val="000000"/>
          <w:sz w:val="24"/>
          <w:szCs w:val="24"/>
        </w:rPr>
        <w:t>nym wskazanym w opisie zajęć, o </w:t>
      </w:r>
      <w:r w:rsidR="004B6E85" w:rsidRPr="004B6E85">
        <w:rPr>
          <w:rFonts w:ascii="Times New Roman" w:hAnsi="Times New Roman"/>
          <w:bCs/>
          <w:color w:val="000000"/>
          <w:sz w:val="24"/>
          <w:szCs w:val="24"/>
        </w:rPr>
        <w:t xml:space="preserve">zaliczenie których ubiega się </w:t>
      </w:r>
      <w:r w:rsidR="004B6E85">
        <w:rPr>
          <w:rFonts w:ascii="Times New Roman" w:hAnsi="Times New Roman"/>
          <w:bCs/>
          <w:color w:val="000000"/>
          <w:sz w:val="24"/>
          <w:szCs w:val="24"/>
        </w:rPr>
        <w:t>kandydat</w:t>
      </w:r>
      <w:r w:rsidRPr="004B6E85">
        <w:rPr>
          <w:rFonts w:ascii="Times New Roman" w:eastAsiaTheme="minorHAnsi" w:hAnsi="Times New Roman"/>
          <w:sz w:val="24"/>
          <w:szCs w:val="24"/>
        </w:rPr>
        <w:t>;</w:t>
      </w:r>
    </w:p>
    <w:p w14:paraId="6A0B041E" w14:textId="77777777" w:rsidR="00B00CE3" w:rsidRPr="00286E66" w:rsidRDefault="00B00CE3" w:rsidP="00FC0A5E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286E66">
        <w:rPr>
          <w:rFonts w:ascii="Times New Roman" w:hAnsi="Times New Roman"/>
          <w:sz w:val="24"/>
          <w:szCs w:val="24"/>
        </w:rPr>
        <w:t xml:space="preserve">dokument potwierdzający ukończenie studiów wyższych lub studiów podyplomowych </w:t>
      </w:r>
      <w:r w:rsidRPr="00286E66">
        <w:rPr>
          <w:rFonts w:ascii="Times New Roman" w:hAnsi="Times New Roman"/>
          <w:bCs/>
          <w:color w:val="000000"/>
          <w:sz w:val="24"/>
          <w:szCs w:val="24"/>
        </w:rPr>
        <w:t>prowadzonych na terenie Rzeczypospolitej Polskiej lub za granicą, jeżeli językiem wykładowym był wyłącznie język obcy – uznaje się język wykładowy;</w:t>
      </w:r>
    </w:p>
    <w:p w14:paraId="43A9D43B" w14:textId="77777777" w:rsidR="00B00CE3" w:rsidRPr="00FC0A5E" w:rsidRDefault="00B00CE3" w:rsidP="00FC0A5E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286E66">
        <w:rPr>
          <w:rFonts w:ascii="Times New Roman" w:hAnsi="Times New Roman"/>
          <w:bCs/>
          <w:color w:val="000000"/>
          <w:sz w:val="24"/>
          <w:szCs w:val="24"/>
        </w:rPr>
        <w:t>wydany za granicą dokument uznany za równoważny świadectwu dojrzałości – uznaje się język wykładowy;</w:t>
      </w:r>
    </w:p>
    <w:p w14:paraId="653FB366" w14:textId="77777777" w:rsidR="00FC0A5E" w:rsidRPr="00FC0A5E" w:rsidRDefault="00FC0A5E" w:rsidP="00FC0A5E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C0A5E">
        <w:rPr>
          <w:rFonts w:ascii="Times New Roman" w:eastAsiaTheme="minorHAnsi" w:hAnsi="Times New Roman"/>
          <w:sz w:val="24"/>
          <w:szCs w:val="24"/>
        </w:rPr>
        <w:t xml:space="preserve">w przypadku dokumentowania </w:t>
      </w:r>
      <w:r w:rsidRPr="00FC0A5E">
        <w:rPr>
          <w:rFonts w:ascii="Times New Roman" w:eastAsiaTheme="minorHAnsi" w:hAnsi="Times New Roman"/>
          <w:bCs/>
          <w:sz w:val="24"/>
          <w:szCs w:val="24"/>
        </w:rPr>
        <w:t>uczenia si</w:t>
      </w:r>
      <w:r w:rsidRPr="00FC0A5E">
        <w:rPr>
          <w:rFonts w:ascii="Times New Roman" w:eastAsiaTheme="minorHAnsi" w:hAnsi="Times New Roman"/>
          <w:sz w:val="24"/>
          <w:szCs w:val="24"/>
        </w:rPr>
        <w:t xml:space="preserve">ę </w:t>
      </w:r>
      <w:r>
        <w:rPr>
          <w:rFonts w:ascii="Times New Roman" w:eastAsiaTheme="minorHAnsi" w:hAnsi="Times New Roman"/>
          <w:sz w:val="24"/>
          <w:szCs w:val="24"/>
        </w:rPr>
        <w:t>nie</w:t>
      </w:r>
      <w:r w:rsidRPr="00FC0A5E">
        <w:rPr>
          <w:rFonts w:ascii="Times New Roman" w:eastAsiaTheme="minorHAnsi" w:hAnsi="Times New Roman"/>
          <w:bCs/>
          <w:sz w:val="24"/>
          <w:szCs w:val="24"/>
        </w:rPr>
        <w:t>zorganizowanego instytucjonalnie poza      systemem studiów:</w:t>
      </w:r>
    </w:p>
    <w:p w14:paraId="57D23355" w14:textId="420BBB2D" w:rsidR="004C6562" w:rsidRPr="004C6562" w:rsidRDefault="004C6562" w:rsidP="00FC0A5E">
      <w:pPr>
        <w:pStyle w:val="Akapitzlist"/>
        <w:numPr>
          <w:ilvl w:val="0"/>
          <w:numId w:val="22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C6562">
        <w:rPr>
          <w:rFonts w:ascii="Times New Roman" w:hAnsi="Times New Roman"/>
          <w:bCs/>
          <w:sz w:val="24"/>
          <w:szCs w:val="24"/>
        </w:rPr>
        <w:t xml:space="preserve">dokumenty wskazujące na zdobycie efektów uczenia się w następstwie doświadczeń życiowych i zawodowych, </w:t>
      </w:r>
      <w:r w:rsidR="008D4755">
        <w:rPr>
          <w:rFonts w:ascii="Times New Roman" w:hAnsi="Times New Roman"/>
          <w:bCs/>
          <w:sz w:val="24"/>
          <w:szCs w:val="24"/>
        </w:rPr>
        <w:t>zbieżnych z efektami uczenia</w:t>
      </w:r>
      <w:r w:rsidRPr="004C6562">
        <w:rPr>
          <w:rFonts w:ascii="Times New Roman" w:hAnsi="Times New Roman"/>
          <w:bCs/>
          <w:sz w:val="24"/>
          <w:szCs w:val="24"/>
        </w:rPr>
        <w:t xml:space="preserve"> wskazanymi w opisie zajęć, o zaliczenie których ubiega się wnioskodawca;</w:t>
      </w:r>
    </w:p>
    <w:p w14:paraId="36083792" w14:textId="61D37BF2" w:rsidR="004C6562" w:rsidRPr="00A16A8D" w:rsidRDefault="00FC0A5E" w:rsidP="00FC0A5E">
      <w:pPr>
        <w:pStyle w:val="Akapitzlist"/>
        <w:numPr>
          <w:ilvl w:val="0"/>
          <w:numId w:val="22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C656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C6562" w:rsidRPr="004C6562">
        <w:rPr>
          <w:rFonts w:ascii="Times New Roman" w:hAnsi="Times New Roman"/>
          <w:bCs/>
          <w:sz w:val="24"/>
          <w:szCs w:val="24"/>
        </w:rPr>
        <w:t xml:space="preserve">dokumenty wskazujące na zdobycie efektów uczenia się w następstwie zdobytych doświadczeń podczas wolontariatu i aktywności w organizacjach społecznych, które są zbieżne z efektami </w:t>
      </w:r>
      <w:r w:rsidR="008D4755">
        <w:rPr>
          <w:rFonts w:ascii="Times New Roman" w:hAnsi="Times New Roman"/>
          <w:bCs/>
          <w:sz w:val="24"/>
          <w:szCs w:val="24"/>
        </w:rPr>
        <w:t>uczenia</w:t>
      </w:r>
      <w:r w:rsidR="004C6562" w:rsidRPr="004C6562">
        <w:rPr>
          <w:rFonts w:ascii="Times New Roman" w:hAnsi="Times New Roman"/>
          <w:bCs/>
          <w:sz w:val="24"/>
          <w:szCs w:val="24"/>
        </w:rPr>
        <w:t xml:space="preserve"> wskazanymi w opisie zajęć, o zaliczenie których ubiega się wnioskodawca;</w:t>
      </w:r>
    </w:p>
    <w:p w14:paraId="7448A0E5" w14:textId="7EEFD9D7" w:rsidR="00A16A8D" w:rsidRPr="001950B6" w:rsidRDefault="00A16A8D" w:rsidP="00FC0A5E">
      <w:pPr>
        <w:pStyle w:val="Akapitzlist"/>
        <w:numPr>
          <w:ilvl w:val="0"/>
          <w:numId w:val="22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dokumenty potwierdzające uczestnictwo</w:t>
      </w:r>
      <w:r w:rsidRPr="00A16A8D">
        <w:rPr>
          <w:rFonts w:ascii="Times New Roman" w:hAnsi="Times New Roman"/>
          <w:bCs/>
          <w:sz w:val="24"/>
          <w:szCs w:val="24"/>
        </w:rPr>
        <w:t xml:space="preserve"> w pracach badawczych, projektowych lub organizacyjnych</w:t>
      </w:r>
      <w:r>
        <w:rPr>
          <w:rFonts w:ascii="Times New Roman" w:hAnsi="Times New Roman"/>
          <w:bCs/>
          <w:sz w:val="24"/>
          <w:szCs w:val="24"/>
        </w:rPr>
        <w:t>,</w:t>
      </w:r>
      <w:r w:rsidRPr="00A16A8D">
        <w:rPr>
          <w:rFonts w:ascii="Times New Roman" w:hAnsi="Times New Roman"/>
          <w:bCs/>
          <w:sz w:val="24"/>
          <w:szCs w:val="24"/>
        </w:rPr>
        <w:t xml:space="preserve"> jeśli udział w tych pracach zapewnia uzyskanie efektów uczenia się z efektami zbieżnymi  z efektami </w:t>
      </w:r>
      <w:r w:rsidR="008D4755">
        <w:rPr>
          <w:rFonts w:ascii="Times New Roman" w:hAnsi="Times New Roman"/>
          <w:bCs/>
          <w:sz w:val="24"/>
          <w:szCs w:val="24"/>
        </w:rPr>
        <w:t>uczenia</w:t>
      </w:r>
      <w:r w:rsidR="007920B0">
        <w:rPr>
          <w:rFonts w:ascii="Times New Roman" w:hAnsi="Times New Roman"/>
          <w:bCs/>
          <w:sz w:val="24"/>
          <w:szCs w:val="24"/>
        </w:rPr>
        <w:t xml:space="preserve"> wskazanymi w opisie zajęć, o </w:t>
      </w:r>
      <w:r w:rsidRPr="00A16A8D">
        <w:rPr>
          <w:rFonts w:ascii="Times New Roman" w:hAnsi="Times New Roman"/>
          <w:bCs/>
          <w:sz w:val="24"/>
          <w:szCs w:val="24"/>
        </w:rPr>
        <w:t>zaliczenie których ubiega się wnioskodawca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21516EA0" w14:textId="73790357" w:rsidR="001950B6" w:rsidRPr="00A16A8D" w:rsidRDefault="001950B6" w:rsidP="00FC0A5E">
      <w:pPr>
        <w:pStyle w:val="Akapitzlist"/>
        <w:numPr>
          <w:ilvl w:val="0"/>
          <w:numId w:val="22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odniesieniu do wniosku o zaliczenie zajęć z zakresu wychowania fizycznego – opinia klubu sportowego, w którym </w:t>
      </w:r>
      <w:r w:rsidR="0069523A">
        <w:rPr>
          <w:rFonts w:ascii="Times New Roman" w:hAnsi="Times New Roman"/>
          <w:bCs/>
          <w:sz w:val="24"/>
          <w:szCs w:val="24"/>
        </w:rPr>
        <w:t xml:space="preserve">kandydat </w:t>
      </w:r>
      <w:r>
        <w:rPr>
          <w:rFonts w:ascii="Times New Roman" w:hAnsi="Times New Roman"/>
          <w:bCs/>
          <w:sz w:val="24"/>
          <w:szCs w:val="24"/>
        </w:rPr>
        <w:t>jest zrzeszony lub udokumentowane osiągnięcia sportowe;</w:t>
      </w:r>
    </w:p>
    <w:p w14:paraId="4C0DA64C" w14:textId="18C14BCC" w:rsidR="00A16A8D" w:rsidRPr="00A16A8D" w:rsidRDefault="00A16A8D" w:rsidP="00FC0A5E">
      <w:pPr>
        <w:pStyle w:val="Akapitzlist"/>
        <w:numPr>
          <w:ilvl w:val="0"/>
          <w:numId w:val="22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16A8D">
        <w:rPr>
          <w:rFonts w:ascii="Times New Roman" w:hAnsi="Times New Roman"/>
          <w:bCs/>
          <w:sz w:val="24"/>
          <w:szCs w:val="24"/>
        </w:rPr>
        <w:t>inne udokumentowane efekty uczenia si</w:t>
      </w:r>
      <w:r w:rsidR="007920B0">
        <w:rPr>
          <w:rFonts w:ascii="Times New Roman" w:hAnsi="Times New Roman"/>
          <w:bCs/>
          <w:sz w:val="24"/>
          <w:szCs w:val="24"/>
        </w:rPr>
        <w:t>ę zbieżne z efektami uczenia wskazanymi w </w:t>
      </w:r>
      <w:r w:rsidRPr="00A16A8D">
        <w:rPr>
          <w:rFonts w:ascii="Times New Roman" w:hAnsi="Times New Roman"/>
          <w:bCs/>
          <w:sz w:val="24"/>
          <w:szCs w:val="24"/>
        </w:rPr>
        <w:t>opisie zajęć, o zaliczenie których ubiega się wnioskodawca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CF1A93C" w14:textId="77777777" w:rsidR="00623F9B" w:rsidRDefault="00623F9B" w:rsidP="005E16A4">
      <w:pPr>
        <w:spacing w:before="120"/>
        <w:jc w:val="center"/>
        <w:rPr>
          <w:rFonts w:ascii="Times New Roman" w:hAnsi="Times New Roman"/>
          <w:sz w:val="24"/>
          <w:szCs w:val="24"/>
        </w:rPr>
      </w:pPr>
    </w:p>
    <w:p w14:paraId="29A0A466" w14:textId="3D540A49" w:rsidR="005E16A4" w:rsidRDefault="005E16A4" w:rsidP="005E16A4">
      <w:pPr>
        <w:spacing w:before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14:paraId="12CFB938" w14:textId="3E02EC7A" w:rsidR="005E16A4" w:rsidRPr="006D29D6" w:rsidRDefault="005E16A4" w:rsidP="006D29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29D6">
        <w:rPr>
          <w:rFonts w:ascii="Times New Roman" w:hAnsi="Times New Roman"/>
          <w:sz w:val="24"/>
          <w:szCs w:val="24"/>
        </w:rPr>
        <w:t>Kandydat zobowiązany jest przedłożyć pełną dokumentację najpóźniej na miesiąc przed rozpoczę</w:t>
      </w:r>
      <w:r w:rsidR="006D29D6">
        <w:rPr>
          <w:rFonts w:ascii="Times New Roman" w:hAnsi="Times New Roman"/>
          <w:sz w:val="24"/>
          <w:szCs w:val="24"/>
        </w:rPr>
        <w:t>ciem kolejnego semestru</w:t>
      </w:r>
      <w:r w:rsidRPr="006D29D6">
        <w:rPr>
          <w:rFonts w:ascii="Times New Roman" w:hAnsi="Times New Roman"/>
          <w:sz w:val="24"/>
          <w:szCs w:val="24"/>
        </w:rPr>
        <w:t>.</w:t>
      </w:r>
    </w:p>
    <w:p w14:paraId="2DF62110" w14:textId="77777777" w:rsidR="00623F9B" w:rsidRDefault="00623F9B" w:rsidP="00061C28">
      <w:pPr>
        <w:spacing w:before="120"/>
        <w:jc w:val="center"/>
        <w:rPr>
          <w:rFonts w:ascii="Times New Roman" w:hAnsi="Times New Roman"/>
          <w:sz w:val="24"/>
          <w:szCs w:val="24"/>
        </w:rPr>
      </w:pPr>
    </w:p>
    <w:p w14:paraId="321F96DA" w14:textId="5F009BF8" w:rsidR="00061C28" w:rsidRDefault="009E0F29" w:rsidP="00061C28">
      <w:pPr>
        <w:spacing w:before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14:paraId="3FBF637E" w14:textId="77777777" w:rsidR="00730A77" w:rsidRPr="001D0EC7" w:rsidRDefault="00AB22B4" w:rsidP="008D1146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0A77">
        <w:rPr>
          <w:rFonts w:ascii="Times New Roman" w:hAnsi="Times New Roman"/>
          <w:sz w:val="24"/>
          <w:szCs w:val="24"/>
        </w:rPr>
        <w:t>Członków</w:t>
      </w:r>
      <w:r w:rsidR="00061C28" w:rsidRPr="00730A77">
        <w:rPr>
          <w:rFonts w:ascii="Times New Roman" w:hAnsi="Times New Roman"/>
          <w:sz w:val="24"/>
          <w:szCs w:val="24"/>
        </w:rPr>
        <w:t xml:space="preserve"> Komisji Weryfikacyjnej powołuje właściwy dziekan.</w:t>
      </w:r>
    </w:p>
    <w:p w14:paraId="658D9C4A" w14:textId="2A945F4C" w:rsidR="008D1146" w:rsidRPr="00730A77" w:rsidRDefault="00D2135C" w:rsidP="008D1146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0A77">
        <w:rPr>
          <w:rFonts w:ascii="Times New Roman" w:hAnsi="Times New Roman"/>
          <w:sz w:val="24"/>
          <w:szCs w:val="24"/>
        </w:rPr>
        <w:t xml:space="preserve">W skład Komisji Weryfikacyjnej wchodzą: </w:t>
      </w:r>
      <w:r w:rsidR="001D0EC7">
        <w:rPr>
          <w:rFonts w:ascii="Times New Roman" w:hAnsi="Times New Roman"/>
          <w:sz w:val="24"/>
          <w:szCs w:val="24"/>
        </w:rPr>
        <w:t xml:space="preserve">dziekan lub </w:t>
      </w:r>
      <w:r w:rsidRPr="00730A77">
        <w:rPr>
          <w:rFonts w:ascii="Times New Roman" w:hAnsi="Times New Roman"/>
          <w:sz w:val="24"/>
          <w:szCs w:val="24"/>
        </w:rPr>
        <w:t>prodziekan jako przewodniczący, dwaj nauczyciele akademiccy będący specjalistami w danej albo pokrewnej dyscyplinie naukowej.</w:t>
      </w:r>
    </w:p>
    <w:p w14:paraId="20583245" w14:textId="77777777" w:rsidR="00D91D4E" w:rsidRDefault="00D91D4E" w:rsidP="003C519B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przypadku, gdy kandydat deklaruje efekty uczenia się dotyczące różnych dyscyplin naukowych dziekan może powołać dodatkowo w skład Komisji Weryfikacyjnej nauczyciela akademickiego będącego specjalistą z danej dyscypliny naukowej.</w:t>
      </w:r>
    </w:p>
    <w:p w14:paraId="17B8B2DE" w14:textId="77777777" w:rsidR="00FD6D5E" w:rsidRDefault="00FD6D5E" w:rsidP="003C519B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gdy Wydziałowa Komisja uzna wniosek za niekompletny wzywa kandydata do uzupełnienia wniosku w terminie 7 dni pod rygorem pozostawienia wniosku bez rozpoznania.</w:t>
      </w:r>
    </w:p>
    <w:p w14:paraId="4C33A040" w14:textId="413E1BE3" w:rsidR="001D5750" w:rsidRPr="009E0F29" w:rsidRDefault="00D91D4E" w:rsidP="00682A4A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0F29">
        <w:rPr>
          <w:rFonts w:ascii="Times New Roman" w:hAnsi="Times New Roman"/>
          <w:sz w:val="24"/>
          <w:szCs w:val="24"/>
        </w:rPr>
        <w:t>W przypadku, gdy Komisja Weryfikacyjna</w:t>
      </w:r>
      <w:r w:rsidR="009B1F62" w:rsidRPr="009E0F29">
        <w:rPr>
          <w:rFonts w:ascii="Times New Roman" w:hAnsi="Times New Roman"/>
          <w:sz w:val="24"/>
          <w:szCs w:val="24"/>
        </w:rPr>
        <w:t xml:space="preserve"> </w:t>
      </w:r>
      <w:r w:rsidR="00FD6D5E" w:rsidRPr="009E0F29">
        <w:rPr>
          <w:rFonts w:ascii="Times New Roman" w:hAnsi="Times New Roman"/>
          <w:sz w:val="24"/>
          <w:szCs w:val="24"/>
        </w:rPr>
        <w:t xml:space="preserve">podejmie uzasadnione wątpliwości w zakresie posiadanych przez kandydata efektów uczenia się Komisja Weryfikacyjna </w:t>
      </w:r>
      <w:r w:rsidR="001D5750" w:rsidRPr="009E0F29">
        <w:rPr>
          <w:rFonts w:ascii="Times New Roman" w:hAnsi="Times New Roman"/>
          <w:bCs/>
          <w:sz w:val="24"/>
          <w:szCs w:val="24"/>
        </w:rPr>
        <w:t>może zarządzić przeprowadzenie egzaminów z zajęć, o których zaliczenie ubiega się kandydat. Egzaminy przeprowadzają nauczyciele akademiccy prowadzący zajęcia, o których zaliczenie ubiega się wnioskodawca lub inny nauczyciel akademicki wskazany przez przewodniczącego Komisji Weryfikacyjnej.</w:t>
      </w:r>
    </w:p>
    <w:p w14:paraId="11F38346" w14:textId="77777777" w:rsidR="00317C36" w:rsidRDefault="00317C36" w:rsidP="00317C36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Weryfikacyjna na podstawie wniosku kandydata orzeka w sprawie możliwości podjęcia studiów przez kandydata rozstrzygając o:</w:t>
      </w:r>
    </w:p>
    <w:p w14:paraId="45FFC356" w14:textId="0F25DBB6" w:rsidR="00317C36" w:rsidRDefault="00317C36" w:rsidP="00317C36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potwierdzeniu efektów uczenia się</w:t>
      </w:r>
    </w:p>
    <w:p w14:paraId="7FF588D7" w14:textId="77777777" w:rsidR="00317C36" w:rsidRDefault="00317C36" w:rsidP="00317C36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zaliczeniu określonych zajęć</w:t>
      </w:r>
    </w:p>
    <w:p w14:paraId="226633A5" w14:textId="77777777" w:rsidR="00682A4A" w:rsidRDefault="00682A4A" w:rsidP="00317C36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kierunku i poziomie studiów </w:t>
      </w:r>
    </w:p>
    <w:p w14:paraId="636246C3" w14:textId="0A1582E5" w:rsidR="00317C36" w:rsidRPr="00682A4A" w:rsidRDefault="00317C36" w:rsidP="00682A4A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obowiązku uzupełnienia różnic programowych</w:t>
      </w:r>
      <w:r w:rsidRPr="00682A4A">
        <w:rPr>
          <w:rFonts w:ascii="Times New Roman" w:hAnsi="Times New Roman"/>
          <w:sz w:val="24"/>
          <w:szCs w:val="24"/>
        </w:rPr>
        <w:t>.</w:t>
      </w:r>
    </w:p>
    <w:p w14:paraId="27304E41" w14:textId="295096F0" w:rsidR="001C068F" w:rsidRPr="00E20C3C" w:rsidRDefault="00D91D4E" w:rsidP="00E20C3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Weryfikacyjna przekazuje </w:t>
      </w:r>
      <w:r w:rsidR="009B1F62">
        <w:rPr>
          <w:rFonts w:ascii="Times New Roman" w:hAnsi="Times New Roman"/>
          <w:sz w:val="24"/>
          <w:szCs w:val="24"/>
        </w:rPr>
        <w:t xml:space="preserve">do </w:t>
      </w:r>
      <w:r w:rsidR="00FD6D5E">
        <w:rPr>
          <w:rFonts w:ascii="Times New Roman" w:hAnsi="Times New Roman"/>
          <w:sz w:val="24"/>
          <w:szCs w:val="24"/>
        </w:rPr>
        <w:t xml:space="preserve">Centrum </w:t>
      </w:r>
      <w:r w:rsidR="009B1F62">
        <w:rPr>
          <w:rFonts w:ascii="Times New Roman" w:hAnsi="Times New Roman"/>
          <w:sz w:val="24"/>
          <w:szCs w:val="24"/>
        </w:rPr>
        <w:t xml:space="preserve">Rekrutacji </w:t>
      </w:r>
      <w:r>
        <w:rPr>
          <w:rFonts w:ascii="Times New Roman" w:hAnsi="Times New Roman"/>
          <w:sz w:val="24"/>
          <w:szCs w:val="24"/>
        </w:rPr>
        <w:t>orzeczenie</w:t>
      </w:r>
      <w:r w:rsidR="009B1F62">
        <w:rPr>
          <w:rFonts w:ascii="Times New Roman" w:hAnsi="Times New Roman"/>
          <w:sz w:val="24"/>
          <w:szCs w:val="24"/>
        </w:rPr>
        <w:t xml:space="preserve"> stwierdzające możliwość przyjęcia kandydata na studia albo orzeczen</w:t>
      </w:r>
      <w:r w:rsidR="00925641">
        <w:rPr>
          <w:rFonts w:ascii="Times New Roman" w:hAnsi="Times New Roman"/>
          <w:sz w:val="24"/>
          <w:szCs w:val="24"/>
        </w:rPr>
        <w:t>ie o niemożliwości przyjęcia na </w:t>
      </w:r>
      <w:r w:rsidR="009B1F62">
        <w:rPr>
          <w:rFonts w:ascii="Times New Roman" w:hAnsi="Times New Roman"/>
          <w:sz w:val="24"/>
          <w:szCs w:val="24"/>
        </w:rPr>
        <w:t>studia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948757F" w14:textId="798F54AD" w:rsidR="00D2135C" w:rsidRDefault="00D91D4E" w:rsidP="00061C28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gdy Komisja Weryfikacyjna stwierdziła m</w:t>
      </w:r>
      <w:r w:rsidR="00925641">
        <w:rPr>
          <w:rFonts w:ascii="Times New Roman" w:hAnsi="Times New Roman"/>
          <w:sz w:val="24"/>
          <w:szCs w:val="24"/>
        </w:rPr>
        <w:t>ożliwość przyjęcia kandydata na </w:t>
      </w:r>
      <w:r>
        <w:rPr>
          <w:rFonts w:ascii="Times New Roman" w:hAnsi="Times New Roman"/>
          <w:sz w:val="24"/>
          <w:szCs w:val="24"/>
        </w:rPr>
        <w:t xml:space="preserve">studia </w:t>
      </w:r>
      <w:r w:rsidR="00107467">
        <w:rPr>
          <w:rFonts w:ascii="Times New Roman" w:hAnsi="Times New Roman"/>
          <w:sz w:val="24"/>
          <w:szCs w:val="24"/>
        </w:rPr>
        <w:t xml:space="preserve">w wyniku potwierdzenia efektów uczenia się </w:t>
      </w:r>
      <w:r w:rsidR="00440482">
        <w:rPr>
          <w:rFonts w:ascii="Times New Roman" w:hAnsi="Times New Roman"/>
          <w:sz w:val="24"/>
          <w:szCs w:val="24"/>
        </w:rPr>
        <w:t>rektor</w:t>
      </w:r>
      <w:r>
        <w:rPr>
          <w:rFonts w:ascii="Times New Roman" w:hAnsi="Times New Roman"/>
          <w:sz w:val="24"/>
          <w:szCs w:val="24"/>
        </w:rPr>
        <w:t xml:space="preserve"> wydaje decyzję w sprawie przyjęcia kandydata na studia</w:t>
      </w:r>
      <w:r w:rsidR="00E20C3C">
        <w:rPr>
          <w:rFonts w:ascii="Times New Roman" w:hAnsi="Times New Roman"/>
          <w:sz w:val="24"/>
          <w:szCs w:val="24"/>
        </w:rPr>
        <w:t>, uwzględniając wymogi § 3 ust.7 niniejszej uchwały. Kandydat zobowiązany jest spełnić wymog</w:t>
      </w:r>
      <w:r w:rsidR="006C2873">
        <w:rPr>
          <w:rFonts w:ascii="Times New Roman" w:hAnsi="Times New Roman"/>
          <w:sz w:val="24"/>
          <w:szCs w:val="24"/>
        </w:rPr>
        <w:t>i formalne dotyczące rekrutacji</w:t>
      </w:r>
      <w:r w:rsidR="00E20C3C">
        <w:rPr>
          <w:rFonts w:ascii="Times New Roman" w:hAnsi="Times New Roman"/>
          <w:sz w:val="24"/>
          <w:szCs w:val="24"/>
        </w:rPr>
        <w:t xml:space="preserve"> przed wydaniem decyzji przez rektora.</w:t>
      </w:r>
    </w:p>
    <w:p w14:paraId="0336DEEC" w14:textId="4E88FDA3" w:rsidR="001C068F" w:rsidRDefault="001C068F" w:rsidP="00061C28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osobą, która została przyjęta na studia w wyniku potwierdzenia efektów uczenia się uczelnia podpisuje umowę o naukę.</w:t>
      </w:r>
    </w:p>
    <w:p w14:paraId="565F3A7A" w14:textId="77777777" w:rsidR="00623F9B" w:rsidRDefault="00623F9B" w:rsidP="009F577F">
      <w:pPr>
        <w:spacing w:before="120"/>
        <w:jc w:val="center"/>
        <w:rPr>
          <w:rFonts w:ascii="Times New Roman" w:hAnsi="Times New Roman"/>
          <w:sz w:val="24"/>
          <w:szCs w:val="24"/>
        </w:rPr>
      </w:pPr>
    </w:p>
    <w:p w14:paraId="3FDFF721" w14:textId="17D32B35" w:rsidR="009F577F" w:rsidRDefault="009F577F" w:rsidP="009F577F">
      <w:pPr>
        <w:spacing w:before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9E0F29">
        <w:rPr>
          <w:rFonts w:ascii="Times New Roman" w:hAnsi="Times New Roman"/>
          <w:sz w:val="24"/>
          <w:szCs w:val="24"/>
        </w:rPr>
        <w:t>9</w:t>
      </w:r>
    </w:p>
    <w:p w14:paraId="61755048" w14:textId="77777777" w:rsidR="00DA3277" w:rsidRPr="009E0F29" w:rsidRDefault="00440482" w:rsidP="00DA327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0F29">
        <w:rPr>
          <w:rFonts w:ascii="Times New Roman" w:hAnsi="Times New Roman"/>
          <w:sz w:val="24"/>
          <w:szCs w:val="24"/>
        </w:rPr>
        <w:t>K</w:t>
      </w:r>
      <w:r w:rsidR="00AB22B4" w:rsidRPr="009E0F29">
        <w:rPr>
          <w:rFonts w:ascii="Times New Roman" w:hAnsi="Times New Roman"/>
          <w:sz w:val="24"/>
          <w:szCs w:val="24"/>
        </w:rPr>
        <w:t>andydat może w terminie 14 dni od doręczenia orzeczenia Komisji Weryfikacyjnej złożyć odwołanie do Uczelnianej Komisji Weryfikacyjnej.</w:t>
      </w:r>
    </w:p>
    <w:p w14:paraId="6C95B617" w14:textId="77777777" w:rsidR="00AB22B4" w:rsidRPr="009E0F29" w:rsidRDefault="00AB22B4" w:rsidP="00DA327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0F29">
        <w:rPr>
          <w:rFonts w:ascii="Times New Roman" w:hAnsi="Times New Roman"/>
          <w:sz w:val="24"/>
          <w:szCs w:val="24"/>
        </w:rPr>
        <w:t>Członków Uczelnianej Komisji Weryfikacyjnej powołuje rektor.</w:t>
      </w:r>
    </w:p>
    <w:p w14:paraId="46778BB0" w14:textId="1394CB09" w:rsidR="00AB22B4" w:rsidRPr="009E0F29" w:rsidRDefault="00AB22B4" w:rsidP="00DA327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0F29">
        <w:rPr>
          <w:rFonts w:ascii="Times New Roman" w:hAnsi="Times New Roman"/>
          <w:sz w:val="24"/>
          <w:szCs w:val="24"/>
        </w:rPr>
        <w:t>W skład Uczelnianej Komisji Weryfikacyjnej wchodzą: prorektor</w:t>
      </w:r>
      <w:r w:rsidR="003361CC">
        <w:rPr>
          <w:rFonts w:ascii="Times New Roman" w:hAnsi="Times New Roman"/>
          <w:sz w:val="24"/>
          <w:szCs w:val="24"/>
        </w:rPr>
        <w:t xml:space="preserve"> do spraw nauki i kształcenia</w:t>
      </w:r>
      <w:r w:rsidRPr="009E0F29">
        <w:rPr>
          <w:rFonts w:ascii="Times New Roman" w:hAnsi="Times New Roman"/>
          <w:sz w:val="24"/>
          <w:szCs w:val="24"/>
        </w:rPr>
        <w:t xml:space="preserve"> jako przewodniczący, dwaj nauczyciele akademiccy</w:t>
      </w:r>
      <w:r w:rsidR="001D0EC7" w:rsidRPr="009E0F29">
        <w:rPr>
          <w:rFonts w:ascii="Times New Roman" w:hAnsi="Times New Roman"/>
          <w:sz w:val="24"/>
          <w:szCs w:val="24"/>
        </w:rPr>
        <w:t xml:space="preserve"> reprezentujący obszary wiedzy, w ramach których prowadzone jest postępowanie w sprawie potwierdzania efektów uczenia się</w:t>
      </w:r>
      <w:r w:rsidRPr="009E0F29">
        <w:rPr>
          <w:rFonts w:ascii="Times New Roman" w:hAnsi="Times New Roman"/>
          <w:sz w:val="24"/>
          <w:szCs w:val="24"/>
        </w:rPr>
        <w:t>.</w:t>
      </w:r>
    </w:p>
    <w:p w14:paraId="7336B82D" w14:textId="77777777" w:rsidR="00B24874" w:rsidRDefault="00B24874" w:rsidP="00DA327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0F29">
        <w:rPr>
          <w:rFonts w:ascii="Times New Roman" w:hAnsi="Times New Roman"/>
          <w:sz w:val="24"/>
          <w:szCs w:val="24"/>
        </w:rPr>
        <w:t>Orzeczenie Uczelnianej Komisji Weryfikacyjnej jest ostateczne.</w:t>
      </w:r>
    </w:p>
    <w:p w14:paraId="61ECC77D" w14:textId="77777777" w:rsidR="00D856B9" w:rsidRPr="009E0F29" w:rsidRDefault="00D856B9" w:rsidP="00D856B9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5C428D9B" w14:textId="52CA9682" w:rsidR="00DC4A81" w:rsidRDefault="009E0F29" w:rsidP="00DC4A81">
      <w:pPr>
        <w:spacing w:before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10</w:t>
      </w:r>
    </w:p>
    <w:p w14:paraId="003F5325" w14:textId="77777777" w:rsidR="00DC4A81" w:rsidRDefault="00DC4A81" w:rsidP="00E061D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61D0">
        <w:rPr>
          <w:rFonts w:ascii="Times New Roman" w:hAnsi="Times New Roman"/>
          <w:bCs/>
          <w:color w:val="000000"/>
          <w:sz w:val="24"/>
          <w:szCs w:val="24"/>
        </w:rPr>
        <w:t>Skutki potwierdzenia efektów uczenia się w stosunku do osoby przyjętej na studia:</w:t>
      </w:r>
    </w:p>
    <w:p w14:paraId="18657222" w14:textId="6F8AC7BB" w:rsidR="004A668B" w:rsidRDefault="00DC4A81" w:rsidP="00E061D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zaliczenie zajęć w wyniku potwierdzenia efektów uczenia się dokumentowane </w:t>
      </w:r>
      <w:r w:rsidR="003361CC">
        <w:rPr>
          <w:rFonts w:ascii="Times New Roman" w:hAnsi="Times New Roman"/>
          <w:sz w:val="24"/>
          <w:szCs w:val="24"/>
        </w:rPr>
        <w:t>jest w </w:t>
      </w:r>
      <w:r>
        <w:rPr>
          <w:rFonts w:ascii="Times New Roman" w:hAnsi="Times New Roman"/>
          <w:sz w:val="24"/>
          <w:szCs w:val="24"/>
        </w:rPr>
        <w:t>protokołach zaliczenia zajęć w USOS;</w:t>
      </w:r>
    </w:p>
    <w:p w14:paraId="06D844F8" w14:textId="1449EE4F" w:rsidR="00DC4A81" w:rsidRPr="00DC4A81" w:rsidRDefault="00DC4A81" w:rsidP="00E061D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C4A81">
        <w:rPr>
          <w:rFonts w:ascii="Times New Roman" w:hAnsi="Times New Roman"/>
          <w:bCs/>
          <w:color w:val="000000"/>
          <w:sz w:val="24"/>
          <w:szCs w:val="24"/>
        </w:rPr>
        <w:t>jeżeli zaliczenie dotyczyło zajęć kończących się</w:t>
      </w:r>
      <w:r w:rsidR="003361CC">
        <w:rPr>
          <w:rFonts w:ascii="Times New Roman" w:hAnsi="Times New Roman"/>
          <w:bCs/>
          <w:color w:val="000000"/>
          <w:sz w:val="24"/>
          <w:szCs w:val="24"/>
        </w:rPr>
        <w:t xml:space="preserve"> zgodnie z programem studiów</w:t>
      </w:r>
      <w:r w:rsidRPr="00DC4A81">
        <w:rPr>
          <w:rFonts w:ascii="Times New Roman" w:hAnsi="Times New Roman"/>
          <w:bCs/>
          <w:color w:val="000000"/>
          <w:sz w:val="24"/>
          <w:szCs w:val="24"/>
        </w:rPr>
        <w:t xml:space="preserve"> oceną wpisuje się „</w:t>
      </w:r>
      <w:r>
        <w:rPr>
          <w:rFonts w:ascii="Times New Roman" w:hAnsi="Times New Roman"/>
          <w:bCs/>
          <w:color w:val="000000"/>
          <w:sz w:val="24"/>
          <w:szCs w:val="24"/>
        </w:rPr>
        <w:t>zaliczono</w:t>
      </w:r>
      <w:r w:rsidRPr="00DC4A81">
        <w:rPr>
          <w:rFonts w:ascii="Times New Roman" w:hAnsi="Times New Roman"/>
          <w:bCs/>
          <w:color w:val="000000"/>
          <w:sz w:val="24"/>
          <w:szCs w:val="24"/>
        </w:rPr>
        <w:t>” do dokumentacji przebiegu studiów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31DA8BEF" w14:textId="77777777" w:rsidR="00DC4A81" w:rsidRPr="00DC4A81" w:rsidRDefault="00DC4A81" w:rsidP="00E061D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osoba przyjęta na studia w wyniku potwierdzenia efektów uczenia się </w:t>
      </w:r>
      <w:r w:rsidRPr="00DC4A81">
        <w:rPr>
          <w:rFonts w:ascii="Times New Roman" w:hAnsi="Times New Roman"/>
          <w:bCs/>
          <w:color w:val="000000"/>
          <w:sz w:val="24"/>
          <w:szCs w:val="24"/>
        </w:rPr>
        <w:t>otrzymuje liczbę punktów ECTS, przyporzą</w:t>
      </w:r>
      <w:r>
        <w:rPr>
          <w:rFonts w:ascii="Times New Roman" w:hAnsi="Times New Roman"/>
          <w:bCs/>
          <w:color w:val="000000"/>
          <w:sz w:val="24"/>
          <w:szCs w:val="24"/>
        </w:rPr>
        <w:t>dkowaną do zajęć, które zaliczono</w:t>
      </w:r>
      <w:r w:rsidRPr="00DC4A81">
        <w:rPr>
          <w:rFonts w:ascii="Times New Roman" w:hAnsi="Times New Roman"/>
          <w:bCs/>
          <w:color w:val="000000"/>
          <w:sz w:val="24"/>
          <w:szCs w:val="24"/>
        </w:rPr>
        <w:t xml:space="preserve"> w wyniku potwierdzenia efektów uczenia się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28371172" w14:textId="77777777" w:rsidR="00DC4A81" w:rsidRPr="00E061D0" w:rsidRDefault="00DC4A81" w:rsidP="00E061D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C4A81">
        <w:rPr>
          <w:rFonts w:ascii="Times New Roman" w:hAnsi="Times New Roman"/>
          <w:bCs/>
          <w:color w:val="000000"/>
          <w:sz w:val="24"/>
          <w:szCs w:val="24"/>
        </w:rPr>
        <w:t>do średniej ocen ze studiów nie wlicza się zajęć zaliczonych w następstwie potwierdzenia efektów uczenia się</w:t>
      </w:r>
    </w:p>
    <w:p w14:paraId="63A50240" w14:textId="77777777" w:rsidR="00E061D0" w:rsidRPr="009E0F29" w:rsidRDefault="00E061D0" w:rsidP="00E061D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10951">
        <w:rPr>
          <w:rFonts w:ascii="Times New Roman" w:hAnsi="Times New Roman"/>
          <w:bCs/>
          <w:color w:val="000000"/>
          <w:sz w:val="24"/>
          <w:szCs w:val="24"/>
        </w:rPr>
        <w:t>Dziekanat prowadzi ewidencję zajęć zaliczonych w następstwie potwierdzenia efektó</w:t>
      </w:r>
      <w:r w:rsidR="00210951" w:rsidRPr="00210951">
        <w:rPr>
          <w:rFonts w:ascii="Times New Roman" w:hAnsi="Times New Roman"/>
          <w:bCs/>
          <w:color w:val="000000"/>
          <w:sz w:val="24"/>
          <w:szCs w:val="24"/>
        </w:rPr>
        <w:t>w</w:t>
      </w:r>
      <w:r w:rsidRPr="00210951">
        <w:rPr>
          <w:rFonts w:ascii="Times New Roman" w:hAnsi="Times New Roman"/>
          <w:bCs/>
          <w:color w:val="000000"/>
          <w:sz w:val="24"/>
          <w:szCs w:val="24"/>
        </w:rPr>
        <w:t xml:space="preserve"> uczenia się.</w:t>
      </w:r>
    </w:p>
    <w:p w14:paraId="4C544829" w14:textId="5F051031" w:rsidR="00E061D0" w:rsidRPr="009E0F29" w:rsidRDefault="00E061D0" w:rsidP="00E061D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9E0F29">
        <w:rPr>
          <w:rFonts w:ascii="Times New Roman" w:hAnsi="Times New Roman"/>
          <w:bCs/>
          <w:sz w:val="24"/>
          <w:szCs w:val="24"/>
        </w:rPr>
        <w:t>Ewidencja, o której mowa w ust.2 zawiera: imię i nazwi</w:t>
      </w:r>
      <w:r w:rsidR="003361CC">
        <w:rPr>
          <w:rFonts w:ascii="Times New Roman" w:hAnsi="Times New Roman"/>
          <w:bCs/>
          <w:sz w:val="24"/>
          <w:szCs w:val="24"/>
        </w:rPr>
        <w:t>sko osoby przyjętej na studia w </w:t>
      </w:r>
      <w:r w:rsidRPr="009E0F29">
        <w:rPr>
          <w:rFonts w:ascii="Times New Roman" w:hAnsi="Times New Roman"/>
          <w:bCs/>
          <w:sz w:val="24"/>
          <w:szCs w:val="24"/>
        </w:rPr>
        <w:t>wyniku potwierdzenia efektów uczenia się, numer alb</w:t>
      </w:r>
      <w:r w:rsidR="003361CC">
        <w:rPr>
          <w:rFonts w:ascii="Times New Roman" w:hAnsi="Times New Roman"/>
          <w:bCs/>
          <w:sz w:val="24"/>
          <w:szCs w:val="24"/>
        </w:rPr>
        <w:t>umu, wydział, stopień studiów i </w:t>
      </w:r>
      <w:r w:rsidRPr="009E0F29">
        <w:rPr>
          <w:rFonts w:ascii="Times New Roman" w:hAnsi="Times New Roman"/>
          <w:bCs/>
          <w:sz w:val="24"/>
          <w:szCs w:val="24"/>
        </w:rPr>
        <w:t xml:space="preserve">rok studiów, przedmiot, liczba punktów ECTS, podstawę uznania </w:t>
      </w:r>
      <w:r w:rsidR="001D0EC7" w:rsidRPr="009E0F29">
        <w:rPr>
          <w:rFonts w:ascii="Times New Roman" w:hAnsi="Times New Roman"/>
          <w:sz w:val="24"/>
          <w:szCs w:val="24"/>
        </w:rPr>
        <w:t>efektów uczenia się</w:t>
      </w:r>
      <w:r w:rsidRPr="009E0F29">
        <w:rPr>
          <w:rFonts w:ascii="Times New Roman" w:hAnsi="Times New Roman"/>
          <w:bCs/>
          <w:sz w:val="24"/>
          <w:szCs w:val="24"/>
        </w:rPr>
        <w:t>.</w:t>
      </w:r>
    </w:p>
    <w:p w14:paraId="7C01782A" w14:textId="77777777" w:rsidR="00623F9B" w:rsidRDefault="00623F9B" w:rsidP="00E061D0">
      <w:pPr>
        <w:spacing w:before="120"/>
        <w:jc w:val="center"/>
        <w:rPr>
          <w:rFonts w:ascii="Times New Roman" w:hAnsi="Times New Roman"/>
          <w:sz w:val="24"/>
          <w:szCs w:val="24"/>
        </w:rPr>
      </w:pPr>
    </w:p>
    <w:p w14:paraId="239BDA83" w14:textId="56877D3E" w:rsidR="00E061D0" w:rsidRDefault="009E0F29" w:rsidP="00E061D0">
      <w:pPr>
        <w:spacing w:before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11</w:t>
      </w:r>
    </w:p>
    <w:p w14:paraId="2D1A99B9" w14:textId="518096CC" w:rsidR="00E061D0" w:rsidRDefault="00E061D0" w:rsidP="00E061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61D0">
        <w:rPr>
          <w:rFonts w:ascii="Times New Roman" w:hAnsi="Times New Roman"/>
          <w:sz w:val="24"/>
          <w:szCs w:val="24"/>
        </w:rPr>
        <w:t xml:space="preserve">Uchwała wchodzi w życie z dniem jej podjęcia </w:t>
      </w:r>
      <w:r w:rsidRPr="00E061D0">
        <w:rPr>
          <w:rFonts w:ascii="Times New Roman" w:hAnsi="Times New Roman"/>
          <w:color w:val="000000"/>
          <w:sz w:val="24"/>
          <w:szCs w:val="24"/>
        </w:rPr>
        <w:t>i ma zastoso</w:t>
      </w:r>
      <w:r w:rsidR="003361CC">
        <w:rPr>
          <w:rFonts w:ascii="Times New Roman" w:hAnsi="Times New Roman"/>
          <w:color w:val="000000"/>
          <w:sz w:val="24"/>
          <w:szCs w:val="24"/>
        </w:rPr>
        <w:t>wanie do czynności związanych z </w:t>
      </w:r>
      <w:r w:rsidRPr="00E061D0">
        <w:rPr>
          <w:rFonts w:ascii="Times New Roman" w:hAnsi="Times New Roman"/>
          <w:color w:val="000000"/>
          <w:sz w:val="24"/>
          <w:szCs w:val="24"/>
        </w:rPr>
        <w:t>tokiem studiów pocz</w:t>
      </w:r>
      <w:r w:rsidR="003361CC">
        <w:rPr>
          <w:rFonts w:ascii="Times New Roman" w:hAnsi="Times New Roman"/>
          <w:color w:val="000000"/>
          <w:sz w:val="24"/>
          <w:szCs w:val="24"/>
        </w:rPr>
        <w:t>ąwszy od roku akademickiego 2019/2020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5EA4F83" w14:textId="77777777" w:rsidR="00D856B9" w:rsidRDefault="00D856B9" w:rsidP="00E061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F9432F" w14:textId="77777777" w:rsidR="00D856B9" w:rsidRDefault="00D856B9" w:rsidP="00E061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933FCF" w14:textId="77777777" w:rsidR="00D856B9" w:rsidRDefault="00D856B9" w:rsidP="00E061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03CAF5" w14:textId="77777777" w:rsidR="00D856B9" w:rsidRDefault="00D856B9" w:rsidP="00E061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8DDBEB" w14:textId="77777777" w:rsidR="00D856B9" w:rsidRDefault="00D856B9" w:rsidP="00E061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3A81B6" w14:textId="77777777" w:rsidR="00D856B9" w:rsidRDefault="00D856B9" w:rsidP="00E061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8F1DEC" w14:textId="77777777" w:rsidR="00D856B9" w:rsidRDefault="00D856B9" w:rsidP="00E061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7BDBC6" w14:textId="77777777" w:rsidR="00D856B9" w:rsidRDefault="00D856B9" w:rsidP="00E061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AB0A47" w14:textId="77777777" w:rsidR="00D856B9" w:rsidRDefault="00D856B9" w:rsidP="00E061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B62D58" w14:textId="77777777" w:rsidR="00D856B9" w:rsidRDefault="00D856B9" w:rsidP="00E061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F66401" w14:textId="77777777" w:rsidR="00D856B9" w:rsidRDefault="00D856B9" w:rsidP="00E061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676ECD" w14:textId="77777777" w:rsidR="00D856B9" w:rsidRDefault="00D856B9" w:rsidP="00E061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1292CE" w14:textId="77777777" w:rsidR="00D856B9" w:rsidRDefault="00D856B9" w:rsidP="00E061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96A4A1" w14:textId="77777777" w:rsidR="00D856B9" w:rsidRDefault="00D856B9" w:rsidP="00E061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368C61" w14:textId="77777777" w:rsidR="00D856B9" w:rsidRDefault="00D856B9" w:rsidP="00E061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B4418E" w14:textId="77777777" w:rsidR="00D856B9" w:rsidRDefault="00D856B9" w:rsidP="00E061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438FAB" w14:textId="77777777" w:rsidR="00D856B9" w:rsidRDefault="00D856B9" w:rsidP="00E061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EB7DF9" w14:textId="77777777" w:rsidR="00D856B9" w:rsidRDefault="00D856B9" w:rsidP="00E061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4C6DD6" w14:textId="77777777" w:rsidR="00D856B9" w:rsidRDefault="00D856B9" w:rsidP="00E061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1E5CF1" w14:textId="77777777" w:rsidR="00D856B9" w:rsidRDefault="00D856B9" w:rsidP="00E061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E07E37" w14:textId="77777777" w:rsidR="00D856B9" w:rsidRDefault="00D856B9" w:rsidP="00E061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56D6C7" w14:textId="77777777" w:rsidR="00D856B9" w:rsidRDefault="00D856B9" w:rsidP="00E061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7A5F1E" w14:textId="77777777" w:rsidR="00D856B9" w:rsidRDefault="00D856B9" w:rsidP="00E061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9FDF0A" w14:textId="77777777" w:rsidR="00D856B9" w:rsidRDefault="00D856B9" w:rsidP="00E061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E6938A9" w14:textId="35D4D6FA" w:rsidR="00D856B9" w:rsidRPr="008443E7" w:rsidRDefault="008443E7" w:rsidP="008443E7">
      <w:pPr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8443E7">
        <w:rPr>
          <w:rFonts w:ascii="Times New Roman" w:hAnsi="Times New Roman"/>
          <w:bCs/>
          <w:color w:val="000000"/>
          <w:sz w:val="20"/>
          <w:szCs w:val="20"/>
        </w:rPr>
        <w:lastRenderedPageBreak/>
        <w:t xml:space="preserve">załącznik </w:t>
      </w:r>
      <w:r w:rsidR="00D856B9" w:rsidRPr="008443E7">
        <w:rPr>
          <w:rFonts w:ascii="Times New Roman" w:hAnsi="Times New Roman"/>
          <w:bCs/>
          <w:color w:val="000000"/>
          <w:sz w:val="20"/>
          <w:szCs w:val="20"/>
        </w:rPr>
        <w:t>do uchwały Sena</w:t>
      </w:r>
      <w:r w:rsidR="00C17A4F">
        <w:rPr>
          <w:rFonts w:ascii="Times New Roman" w:hAnsi="Times New Roman"/>
          <w:bCs/>
          <w:color w:val="000000"/>
          <w:sz w:val="20"/>
          <w:szCs w:val="20"/>
        </w:rPr>
        <w:t>tu EUH-E z dnia 26 kwietnia 2018</w:t>
      </w:r>
      <w:r w:rsidR="00D856B9" w:rsidRPr="008443E7">
        <w:rPr>
          <w:rFonts w:ascii="Times New Roman" w:hAnsi="Times New Roman"/>
          <w:bCs/>
          <w:color w:val="000000"/>
          <w:sz w:val="20"/>
          <w:szCs w:val="20"/>
        </w:rPr>
        <w:t xml:space="preserve"> r.</w:t>
      </w:r>
    </w:p>
    <w:p w14:paraId="25AFB005" w14:textId="77777777" w:rsidR="00D856B9" w:rsidRPr="008443E7" w:rsidRDefault="00D856B9" w:rsidP="008443E7">
      <w:pPr>
        <w:spacing w:after="0" w:line="240" w:lineRule="auto"/>
        <w:rPr>
          <w:rFonts w:ascii="Times New Roman" w:hAnsi="Times New Roman"/>
          <w:color w:val="000000"/>
        </w:rPr>
      </w:pPr>
      <w:r w:rsidRPr="008443E7">
        <w:rPr>
          <w:rFonts w:ascii="Times New Roman" w:hAnsi="Times New Roman"/>
          <w:color w:val="000000"/>
        </w:rPr>
        <w:t>…………………………………………..</w:t>
      </w:r>
    </w:p>
    <w:p w14:paraId="600076C6" w14:textId="77777777" w:rsidR="00D856B9" w:rsidRPr="008443E7" w:rsidRDefault="00D856B9" w:rsidP="008443E7">
      <w:pPr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8443E7">
        <w:rPr>
          <w:rFonts w:ascii="Times New Roman" w:hAnsi="Times New Roman"/>
          <w:color w:val="000000"/>
          <w:sz w:val="20"/>
          <w:szCs w:val="20"/>
        </w:rPr>
        <w:t>(miejscowość i data)</w:t>
      </w:r>
    </w:p>
    <w:p w14:paraId="0CD9644C" w14:textId="77777777" w:rsidR="00D856B9" w:rsidRPr="008443E7" w:rsidRDefault="00D856B9" w:rsidP="00D856B9">
      <w:pPr>
        <w:rPr>
          <w:rFonts w:ascii="Times New Roman" w:hAnsi="Times New Roman"/>
          <w:color w:val="000000"/>
        </w:rPr>
      </w:pPr>
    </w:p>
    <w:p w14:paraId="0AE96D56" w14:textId="77777777" w:rsidR="00D856B9" w:rsidRPr="008443E7" w:rsidRDefault="00D856B9" w:rsidP="008443E7">
      <w:pPr>
        <w:spacing w:after="0"/>
        <w:rPr>
          <w:rFonts w:ascii="Times New Roman" w:hAnsi="Times New Roman"/>
          <w:color w:val="000000"/>
        </w:rPr>
      </w:pPr>
      <w:r w:rsidRPr="008443E7">
        <w:rPr>
          <w:rFonts w:ascii="Times New Roman" w:hAnsi="Times New Roman"/>
          <w:color w:val="000000"/>
        </w:rPr>
        <w:t>Nr wniosku……………………….</w:t>
      </w:r>
    </w:p>
    <w:p w14:paraId="7AD347DD" w14:textId="65D82E66" w:rsidR="00D856B9" w:rsidRPr="008F7BB4" w:rsidRDefault="00D856B9" w:rsidP="008F7BB4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DC121F">
        <w:rPr>
          <w:color w:val="000000"/>
        </w:rPr>
        <w:tab/>
        <w:t xml:space="preserve">  </w:t>
      </w:r>
      <w:r w:rsidRPr="008443E7">
        <w:rPr>
          <w:rFonts w:ascii="Times New Roman" w:hAnsi="Times New Roman"/>
          <w:color w:val="000000"/>
          <w:sz w:val="20"/>
          <w:szCs w:val="20"/>
        </w:rPr>
        <w:t xml:space="preserve">(nadaje </w:t>
      </w:r>
      <w:r w:rsidR="008443E7">
        <w:rPr>
          <w:rFonts w:ascii="Times New Roman" w:hAnsi="Times New Roman"/>
          <w:color w:val="000000"/>
          <w:sz w:val="20"/>
          <w:szCs w:val="20"/>
        </w:rPr>
        <w:t>dziekanat uczelni</w:t>
      </w:r>
      <w:r w:rsidRPr="008443E7">
        <w:rPr>
          <w:rFonts w:ascii="Times New Roman" w:hAnsi="Times New Roman"/>
          <w:color w:val="000000"/>
          <w:sz w:val="20"/>
          <w:szCs w:val="20"/>
        </w:rPr>
        <w:t>)</w:t>
      </w:r>
    </w:p>
    <w:p w14:paraId="1678E91E" w14:textId="77777777" w:rsidR="00D856B9" w:rsidRPr="008443E7" w:rsidRDefault="00D856B9" w:rsidP="008443E7">
      <w:pPr>
        <w:spacing w:after="0"/>
        <w:ind w:left="2832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8443E7">
        <w:rPr>
          <w:rFonts w:ascii="Times New Roman" w:hAnsi="Times New Roman"/>
          <w:b/>
          <w:color w:val="000000"/>
          <w:sz w:val="24"/>
          <w:szCs w:val="24"/>
        </w:rPr>
        <w:t>Komisja Weryfikacyjna</w:t>
      </w:r>
    </w:p>
    <w:p w14:paraId="3793D2E1" w14:textId="77777777" w:rsidR="00D856B9" w:rsidRPr="008443E7" w:rsidRDefault="00D856B9" w:rsidP="008443E7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8443E7">
        <w:rPr>
          <w:rFonts w:ascii="Times New Roman" w:hAnsi="Times New Roman"/>
          <w:b/>
          <w:color w:val="000000"/>
          <w:sz w:val="24"/>
          <w:szCs w:val="24"/>
        </w:rPr>
        <w:tab/>
      </w:r>
      <w:r w:rsidRPr="008443E7">
        <w:rPr>
          <w:rFonts w:ascii="Times New Roman" w:hAnsi="Times New Roman"/>
          <w:b/>
          <w:color w:val="000000"/>
          <w:sz w:val="24"/>
          <w:szCs w:val="24"/>
        </w:rPr>
        <w:tab/>
      </w:r>
      <w:r w:rsidRPr="008443E7">
        <w:rPr>
          <w:rFonts w:ascii="Times New Roman" w:hAnsi="Times New Roman"/>
          <w:b/>
          <w:color w:val="000000"/>
          <w:sz w:val="24"/>
          <w:szCs w:val="24"/>
        </w:rPr>
        <w:tab/>
      </w:r>
      <w:r w:rsidRPr="008443E7">
        <w:rPr>
          <w:rFonts w:ascii="Times New Roman" w:hAnsi="Times New Roman"/>
          <w:b/>
          <w:color w:val="000000"/>
          <w:sz w:val="24"/>
          <w:szCs w:val="24"/>
        </w:rPr>
        <w:tab/>
      </w:r>
      <w:r w:rsidRPr="008443E7">
        <w:rPr>
          <w:rFonts w:ascii="Times New Roman" w:hAnsi="Times New Roman"/>
          <w:b/>
          <w:color w:val="000000"/>
          <w:sz w:val="24"/>
          <w:szCs w:val="24"/>
        </w:rPr>
        <w:tab/>
        <w:t>Elbląskiej Uczelni Humanistyczno-Ekonomicznej</w:t>
      </w:r>
    </w:p>
    <w:p w14:paraId="3D0DD74F" w14:textId="77777777" w:rsidR="00D856B9" w:rsidRPr="008443E7" w:rsidRDefault="00D856B9" w:rsidP="008443E7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8443E7">
        <w:rPr>
          <w:rFonts w:ascii="Times New Roman" w:hAnsi="Times New Roman"/>
          <w:b/>
          <w:color w:val="000000"/>
          <w:sz w:val="24"/>
          <w:szCs w:val="24"/>
        </w:rPr>
        <w:tab/>
      </w:r>
      <w:r w:rsidRPr="008443E7">
        <w:rPr>
          <w:rFonts w:ascii="Times New Roman" w:hAnsi="Times New Roman"/>
          <w:b/>
          <w:color w:val="000000"/>
          <w:sz w:val="24"/>
          <w:szCs w:val="24"/>
        </w:rPr>
        <w:tab/>
      </w:r>
      <w:r w:rsidRPr="008443E7">
        <w:rPr>
          <w:rFonts w:ascii="Times New Roman" w:hAnsi="Times New Roman"/>
          <w:b/>
          <w:color w:val="000000"/>
          <w:sz w:val="24"/>
          <w:szCs w:val="24"/>
        </w:rPr>
        <w:tab/>
      </w:r>
      <w:r w:rsidRPr="008443E7">
        <w:rPr>
          <w:rFonts w:ascii="Times New Roman" w:hAnsi="Times New Roman"/>
          <w:b/>
          <w:color w:val="000000"/>
          <w:sz w:val="24"/>
          <w:szCs w:val="24"/>
        </w:rPr>
        <w:tab/>
      </w:r>
      <w:r w:rsidRPr="008443E7">
        <w:rPr>
          <w:rFonts w:ascii="Times New Roman" w:hAnsi="Times New Roman"/>
          <w:b/>
          <w:color w:val="000000"/>
          <w:sz w:val="24"/>
          <w:szCs w:val="24"/>
        </w:rPr>
        <w:tab/>
        <w:t>w Elblągu</w:t>
      </w:r>
    </w:p>
    <w:p w14:paraId="2A90A450" w14:textId="77777777" w:rsidR="00D856B9" w:rsidRPr="00DC121F" w:rsidRDefault="00D856B9" w:rsidP="00D856B9">
      <w:pPr>
        <w:rPr>
          <w:color w:val="000000"/>
        </w:rPr>
      </w:pPr>
    </w:p>
    <w:p w14:paraId="09FC49F0" w14:textId="77777777" w:rsidR="00D856B9" w:rsidRPr="008443E7" w:rsidRDefault="00D856B9" w:rsidP="008443E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443E7">
        <w:rPr>
          <w:rFonts w:ascii="Times New Roman" w:hAnsi="Times New Roman"/>
          <w:b/>
          <w:color w:val="000000"/>
          <w:sz w:val="24"/>
          <w:szCs w:val="24"/>
        </w:rPr>
        <w:t>WNIOSEK  O  POTWIERDZENIE  EFEKTÓW  UCZENIA  SIĘ</w:t>
      </w:r>
    </w:p>
    <w:p w14:paraId="2EAD2A7F" w14:textId="77777777" w:rsidR="00D856B9" w:rsidRPr="008443E7" w:rsidRDefault="00D856B9" w:rsidP="008443E7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43E7">
        <w:rPr>
          <w:rFonts w:ascii="Times New Roman" w:hAnsi="Times New Roman"/>
          <w:b/>
          <w:color w:val="000000"/>
          <w:sz w:val="24"/>
          <w:szCs w:val="24"/>
        </w:rPr>
        <w:t xml:space="preserve">zdobytych w systemie </w:t>
      </w:r>
      <w:r w:rsidRPr="008443E7">
        <w:rPr>
          <w:rFonts w:ascii="Times New Roman" w:hAnsi="Times New Roman"/>
          <w:b/>
          <w:bCs/>
          <w:color w:val="000000"/>
          <w:sz w:val="24"/>
          <w:szCs w:val="24"/>
        </w:rPr>
        <w:t>zorganizowanym instytucjonalnie poza systemem studiów</w:t>
      </w:r>
    </w:p>
    <w:p w14:paraId="4444075A" w14:textId="77777777" w:rsidR="00D856B9" w:rsidRPr="008443E7" w:rsidRDefault="00D856B9" w:rsidP="008443E7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43E7">
        <w:rPr>
          <w:rFonts w:ascii="Times New Roman" w:hAnsi="Times New Roman"/>
          <w:b/>
          <w:bCs/>
          <w:color w:val="000000"/>
          <w:sz w:val="24"/>
          <w:szCs w:val="24"/>
        </w:rPr>
        <w:t xml:space="preserve"> lub niezorganizowanym instytucjonalnie </w:t>
      </w:r>
    </w:p>
    <w:p w14:paraId="00DAF0E6" w14:textId="77777777" w:rsidR="00D856B9" w:rsidRPr="00DC121F" w:rsidRDefault="00D856B9" w:rsidP="00D856B9">
      <w:pPr>
        <w:rPr>
          <w:b/>
          <w:bCs/>
          <w:color w:val="000000"/>
        </w:rPr>
      </w:pPr>
    </w:p>
    <w:p w14:paraId="6A585BED" w14:textId="77777777" w:rsidR="00D856B9" w:rsidRPr="008443E7" w:rsidRDefault="00D856B9" w:rsidP="008443E7">
      <w:pPr>
        <w:spacing w:after="12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43E7">
        <w:rPr>
          <w:rFonts w:ascii="Times New Roman" w:hAnsi="Times New Roman"/>
          <w:bCs/>
          <w:color w:val="000000"/>
          <w:sz w:val="24"/>
          <w:szCs w:val="24"/>
        </w:rPr>
        <w:t>imię i nazwisko ………………………………………………………………………………... e-mail …………………………………………………………………………………………...</w:t>
      </w:r>
    </w:p>
    <w:p w14:paraId="5ACB9207" w14:textId="3F521183" w:rsidR="00D856B9" w:rsidRPr="008443E7" w:rsidRDefault="00D856B9" w:rsidP="008443E7">
      <w:pPr>
        <w:spacing w:after="12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43E7">
        <w:rPr>
          <w:rFonts w:ascii="Times New Roman" w:hAnsi="Times New Roman"/>
          <w:bCs/>
          <w:color w:val="000000"/>
          <w:sz w:val="24"/>
          <w:szCs w:val="24"/>
        </w:rPr>
        <w:t>adres koresp. …………………………………………………………………….......................</w:t>
      </w:r>
      <w:r w:rsidR="008443E7">
        <w:rPr>
          <w:rFonts w:ascii="Times New Roman" w:hAnsi="Times New Roman"/>
          <w:bCs/>
          <w:color w:val="000000"/>
          <w:sz w:val="24"/>
          <w:szCs w:val="24"/>
        </w:rPr>
        <w:t>..</w:t>
      </w:r>
    </w:p>
    <w:p w14:paraId="01E8D168" w14:textId="7D70A789" w:rsidR="00D856B9" w:rsidRPr="008F7BB4" w:rsidRDefault="00D856B9" w:rsidP="008F7BB4">
      <w:pPr>
        <w:spacing w:after="12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43E7">
        <w:rPr>
          <w:rFonts w:ascii="Times New Roman" w:hAnsi="Times New Roman"/>
          <w:bCs/>
          <w:color w:val="000000"/>
          <w:sz w:val="24"/>
          <w:szCs w:val="24"/>
        </w:rPr>
        <w:t>tel. ……………………………………………………………………………………………..</w:t>
      </w:r>
      <w:r w:rsidR="008443E7">
        <w:rPr>
          <w:rFonts w:ascii="Times New Roman" w:hAnsi="Times New Roman"/>
          <w:bCs/>
          <w:color w:val="000000"/>
          <w:sz w:val="24"/>
          <w:szCs w:val="24"/>
        </w:rPr>
        <w:t>...</w:t>
      </w:r>
    </w:p>
    <w:p w14:paraId="5BB639ED" w14:textId="77777777" w:rsidR="00D856B9" w:rsidRPr="008443E7" w:rsidRDefault="00D856B9" w:rsidP="008443E7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43E7">
        <w:rPr>
          <w:rFonts w:ascii="Times New Roman" w:hAnsi="Times New Roman"/>
          <w:bCs/>
          <w:color w:val="000000"/>
          <w:sz w:val="24"/>
          <w:szCs w:val="24"/>
        </w:rPr>
        <w:t>1. Proszę o uznanie przedmiotu/ów:</w:t>
      </w:r>
    </w:p>
    <w:p w14:paraId="78D92D50" w14:textId="77777777" w:rsidR="00D856B9" w:rsidRPr="008443E7" w:rsidRDefault="00D856B9" w:rsidP="008443E7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43E7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…………………………………………………………..............................................................</w:t>
      </w:r>
    </w:p>
    <w:p w14:paraId="7093AD32" w14:textId="5E22F3E8" w:rsidR="00D856B9" w:rsidRPr="008443E7" w:rsidRDefault="00D856B9" w:rsidP="008443E7">
      <w:pPr>
        <w:spacing w:after="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8443E7">
        <w:rPr>
          <w:rFonts w:ascii="Times New Roman" w:hAnsi="Times New Roman"/>
          <w:bCs/>
          <w:color w:val="000000"/>
          <w:sz w:val="20"/>
          <w:szCs w:val="20"/>
        </w:rPr>
        <w:t>(nazwa przedmiotu)</w:t>
      </w:r>
    </w:p>
    <w:p w14:paraId="761E0EA9" w14:textId="798AB8ED" w:rsidR="00D856B9" w:rsidRPr="008443E7" w:rsidRDefault="00D856B9" w:rsidP="008443E7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43E7">
        <w:rPr>
          <w:rFonts w:ascii="Times New Roman" w:hAnsi="Times New Roman"/>
          <w:bCs/>
          <w:color w:val="000000"/>
          <w:sz w:val="24"/>
          <w:szCs w:val="24"/>
        </w:rPr>
        <w:t>liczba punktów ECTS przedmiotu ….</w:t>
      </w:r>
      <w:r w:rsidR="008443E7">
        <w:rPr>
          <w:rFonts w:ascii="Times New Roman" w:hAnsi="Times New Roman"/>
          <w:bCs/>
          <w:color w:val="000000"/>
          <w:sz w:val="24"/>
          <w:szCs w:val="24"/>
        </w:rPr>
        <w:t>………….....</w:t>
      </w:r>
      <w:r w:rsidRPr="008443E7">
        <w:rPr>
          <w:rFonts w:ascii="Times New Roman" w:hAnsi="Times New Roman"/>
          <w:bCs/>
          <w:color w:val="000000"/>
          <w:sz w:val="24"/>
          <w:szCs w:val="24"/>
        </w:rPr>
        <w:t>realizowanego na studiach ………. stopnia na kierunku ………….…………………………..</w:t>
      </w:r>
      <w:r w:rsidR="008443E7">
        <w:rPr>
          <w:rFonts w:ascii="Times New Roman" w:hAnsi="Times New Roman"/>
          <w:bCs/>
          <w:color w:val="000000"/>
          <w:sz w:val="24"/>
          <w:szCs w:val="24"/>
        </w:rPr>
        <w:t>........................................................................</w:t>
      </w:r>
    </w:p>
    <w:p w14:paraId="04E70BA6" w14:textId="4EC24B57" w:rsidR="00D856B9" w:rsidRPr="008443E7" w:rsidRDefault="00D856B9" w:rsidP="008443E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443E7">
        <w:rPr>
          <w:rFonts w:ascii="Times New Roman" w:eastAsiaTheme="minorHAnsi" w:hAnsi="Times New Roman"/>
          <w:sz w:val="24"/>
          <w:szCs w:val="24"/>
        </w:rPr>
        <w:t>na podstawie załączonych dokumentów i innych dowodów potwierdzających osiągnięcie efektów uczenia się odpowiadającym efektom kształcenia zdefiniowanym dla tego przedmiotu</w:t>
      </w:r>
      <w:r w:rsidR="008443E7" w:rsidRPr="008443E7">
        <w:rPr>
          <w:rFonts w:ascii="Times New Roman" w:eastAsiaTheme="minorHAnsi" w:hAnsi="Times New Roman"/>
          <w:sz w:val="24"/>
          <w:szCs w:val="24"/>
        </w:rPr>
        <w:t>/ów</w:t>
      </w:r>
      <w:r w:rsidRPr="008443E7">
        <w:rPr>
          <w:rFonts w:ascii="Times New Roman" w:eastAsiaTheme="minorHAnsi" w:hAnsi="Times New Roman"/>
          <w:sz w:val="24"/>
          <w:szCs w:val="24"/>
        </w:rPr>
        <w:t>.</w:t>
      </w:r>
    </w:p>
    <w:p w14:paraId="2C2CDFB6" w14:textId="040984F5" w:rsidR="00D856B9" w:rsidRPr="008443E7" w:rsidRDefault="00D856B9" w:rsidP="008443E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443E7">
        <w:rPr>
          <w:rFonts w:ascii="Times New Roman" w:eastAsiaTheme="minorHAnsi" w:hAnsi="Times New Roman"/>
          <w:sz w:val="24"/>
          <w:szCs w:val="24"/>
        </w:rPr>
        <w:t xml:space="preserve">2. </w:t>
      </w:r>
      <w:r w:rsidRPr="00B1015B">
        <w:rPr>
          <w:rFonts w:ascii="Times New Roman" w:eastAsiaTheme="minorHAnsi" w:hAnsi="Times New Roman"/>
          <w:sz w:val="24"/>
          <w:szCs w:val="24"/>
        </w:rPr>
        <w:t>Oświadczam, że wszystkie przedłożone przeze mnie dokumenty są prawdziwe. Oświadczenie składam pod rygorem odpowiedzialności karnej.</w:t>
      </w:r>
      <w:r w:rsidRPr="008443E7">
        <w:rPr>
          <w:rFonts w:ascii="Times New Roman" w:eastAsiaTheme="minorHAnsi" w:hAnsi="Times New Roman"/>
          <w:sz w:val="24"/>
          <w:szCs w:val="24"/>
        </w:rPr>
        <w:t xml:space="preserve"> </w:t>
      </w:r>
      <w:r w:rsidRPr="00B1015B">
        <w:rPr>
          <w:rFonts w:ascii="Times New Roman" w:eastAsiaTheme="minorHAnsi" w:hAnsi="Times New Roman"/>
          <w:sz w:val="24"/>
          <w:szCs w:val="24"/>
        </w:rPr>
        <w:t>Oświadczam także, że zapoznałem/am się z uchwałą senatu Elbląskiej Uczelni Huma</w:t>
      </w:r>
      <w:r w:rsidR="0014768E">
        <w:rPr>
          <w:rFonts w:ascii="Times New Roman" w:eastAsiaTheme="minorHAnsi" w:hAnsi="Times New Roman"/>
          <w:sz w:val="24"/>
          <w:szCs w:val="24"/>
        </w:rPr>
        <w:t>nistyczno-Ekonomicznej z dnia 26 kwietnia 2019</w:t>
      </w:r>
      <w:r w:rsidRPr="00B1015B">
        <w:rPr>
          <w:rFonts w:ascii="Times New Roman" w:eastAsiaTheme="minorHAnsi" w:hAnsi="Times New Roman"/>
          <w:sz w:val="24"/>
          <w:szCs w:val="24"/>
        </w:rPr>
        <w:t xml:space="preserve"> r. w sprawie </w:t>
      </w:r>
      <w:r w:rsidR="008F7BB4" w:rsidRPr="00B1015B">
        <w:rPr>
          <w:rFonts w:ascii="Times New Roman" w:eastAsiaTheme="minorHAnsi" w:hAnsi="Times New Roman"/>
          <w:sz w:val="24"/>
          <w:szCs w:val="24"/>
        </w:rPr>
        <w:t xml:space="preserve">organizacji </w:t>
      </w:r>
      <w:r w:rsidRPr="00B1015B">
        <w:rPr>
          <w:rFonts w:ascii="Times New Roman" w:eastAsiaTheme="minorHAnsi" w:hAnsi="Times New Roman"/>
          <w:sz w:val="24"/>
          <w:szCs w:val="24"/>
        </w:rPr>
        <w:t>potwierdzania efektów uczenia się.</w:t>
      </w:r>
    </w:p>
    <w:p w14:paraId="1B06C7AA" w14:textId="0E461C17" w:rsidR="00D856B9" w:rsidRPr="008443E7" w:rsidRDefault="00D856B9" w:rsidP="008F7BB4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8443E7">
        <w:rPr>
          <w:rFonts w:ascii="Times New Roman" w:hAnsi="Times New Roman"/>
          <w:color w:val="000000"/>
          <w:sz w:val="24"/>
          <w:szCs w:val="24"/>
        </w:rPr>
        <w:t>Z poważaniem</w:t>
      </w:r>
    </w:p>
    <w:p w14:paraId="6E269381" w14:textId="77777777" w:rsidR="00D856B9" w:rsidRPr="008443E7" w:rsidRDefault="00D856B9" w:rsidP="008F7BB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443E7">
        <w:rPr>
          <w:rFonts w:ascii="Times New Roman" w:hAnsi="Times New Roman"/>
          <w:color w:val="000000"/>
          <w:sz w:val="24"/>
          <w:szCs w:val="24"/>
        </w:rPr>
        <w:t>…………………………………..</w:t>
      </w:r>
    </w:p>
    <w:p w14:paraId="58F5B865" w14:textId="77777777" w:rsidR="00D856B9" w:rsidRPr="008F7BB4" w:rsidRDefault="00D856B9" w:rsidP="008F7BB4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8F7BB4">
        <w:rPr>
          <w:rFonts w:ascii="Times New Roman" w:hAnsi="Times New Roman"/>
          <w:color w:val="000000"/>
          <w:sz w:val="20"/>
          <w:szCs w:val="20"/>
        </w:rPr>
        <w:t>(podpis wnioskodawcy)</w:t>
      </w:r>
    </w:p>
    <w:p w14:paraId="65AFD055" w14:textId="77777777" w:rsidR="00D856B9" w:rsidRPr="008F7BB4" w:rsidRDefault="00D856B9" w:rsidP="008F7BB4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8F7BB4">
        <w:rPr>
          <w:rFonts w:ascii="Times New Roman" w:hAnsi="Times New Roman"/>
          <w:color w:val="000000"/>
          <w:sz w:val="20"/>
          <w:szCs w:val="20"/>
        </w:rPr>
        <w:t>Załączniki:</w:t>
      </w:r>
    </w:p>
    <w:p w14:paraId="16DBA9C8" w14:textId="77777777" w:rsidR="00D856B9" w:rsidRPr="008F7BB4" w:rsidRDefault="00D856B9" w:rsidP="00D856B9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7BB4">
        <w:rPr>
          <w:rFonts w:ascii="Times New Roman" w:hAnsi="Times New Roman"/>
          <w:bCs/>
          <w:sz w:val="20"/>
          <w:szCs w:val="20"/>
        </w:rPr>
        <w:t xml:space="preserve">potwierdzenie wniesienia opłaty za </w:t>
      </w:r>
      <w:r w:rsidRPr="008F7BB4">
        <w:rPr>
          <w:rFonts w:ascii="Times New Roman" w:hAnsi="Times New Roman"/>
          <w:sz w:val="20"/>
          <w:szCs w:val="20"/>
        </w:rPr>
        <w:t>przeprowadzanie potwierdzania efektów uczenia się</w:t>
      </w:r>
    </w:p>
    <w:p w14:paraId="040D16E8" w14:textId="77777777" w:rsidR="00D856B9" w:rsidRPr="008F7BB4" w:rsidRDefault="00D856B9" w:rsidP="00D856B9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7BB4">
        <w:rPr>
          <w:rFonts w:ascii="Times New Roman" w:hAnsi="Times New Roman"/>
          <w:color w:val="000000"/>
          <w:sz w:val="20"/>
          <w:szCs w:val="20"/>
        </w:rPr>
        <w:t>………………………………..…….............................................................................................................</w:t>
      </w:r>
    </w:p>
    <w:p w14:paraId="05346D12" w14:textId="77777777" w:rsidR="00D856B9" w:rsidRPr="008F7BB4" w:rsidRDefault="00D856B9" w:rsidP="00D856B9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7BB4">
        <w:rPr>
          <w:rFonts w:ascii="Times New Roman" w:hAnsi="Times New Roman"/>
          <w:color w:val="000000"/>
          <w:sz w:val="20"/>
          <w:szCs w:val="20"/>
        </w:rPr>
        <w:t>………………………………………...........................................................................................................</w:t>
      </w:r>
    </w:p>
    <w:p w14:paraId="4748F426" w14:textId="77777777" w:rsidR="00D856B9" w:rsidRPr="008F7BB4" w:rsidRDefault="00D856B9" w:rsidP="00D856B9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7BB4">
        <w:rPr>
          <w:rFonts w:ascii="Times New Roman" w:hAnsi="Times New Roman"/>
          <w:color w:val="000000"/>
          <w:sz w:val="20"/>
          <w:szCs w:val="20"/>
        </w:rPr>
        <w:t>…………………………………….…..........................................................................................................</w:t>
      </w:r>
    </w:p>
    <w:p w14:paraId="71DEDC9F" w14:textId="7C4C5B6E" w:rsidR="008443E7" w:rsidRPr="0014768E" w:rsidRDefault="00D856B9" w:rsidP="008F7BB4">
      <w:pPr>
        <w:numPr>
          <w:ilvl w:val="0"/>
          <w:numId w:val="29"/>
        </w:numPr>
        <w:spacing w:after="0" w:line="240" w:lineRule="auto"/>
        <w:rPr>
          <w:color w:val="000000"/>
          <w:sz w:val="20"/>
          <w:szCs w:val="20"/>
        </w:rPr>
      </w:pPr>
      <w:r w:rsidRPr="008F7BB4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4E3295F" w14:textId="77777777" w:rsidR="0014768E" w:rsidRPr="0014768E" w:rsidRDefault="0014768E" w:rsidP="0014768E">
      <w:pPr>
        <w:numPr>
          <w:ilvl w:val="0"/>
          <w:numId w:val="29"/>
        </w:numPr>
        <w:spacing w:after="0" w:line="240" w:lineRule="auto"/>
        <w:rPr>
          <w:color w:val="000000"/>
          <w:sz w:val="20"/>
          <w:szCs w:val="20"/>
        </w:rPr>
      </w:pPr>
      <w:r w:rsidRPr="008F7BB4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04DC5D76" w14:textId="77777777" w:rsidR="0014768E" w:rsidRPr="0014768E" w:rsidRDefault="0014768E" w:rsidP="0014768E">
      <w:pPr>
        <w:spacing w:after="0" w:line="240" w:lineRule="auto"/>
        <w:ind w:left="720"/>
        <w:rPr>
          <w:color w:val="000000"/>
          <w:sz w:val="20"/>
          <w:szCs w:val="20"/>
        </w:rPr>
      </w:pPr>
    </w:p>
    <w:sectPr w:rsidR="0014768E" w:rsidRPr="001476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D6940" w14:textId="77777777" w:rsidR="00E64432" w:rsidRDefault="00E64432" w:rsidP="00322783">
      <w:pPr>
        <w:spacing w:after="0" w:line="240" w:lineRule="auto"/>
      </w:pPr>
      <w:r>
        <w:separator/>
      </w:r>
    </w:p>
  </w:endnote>
  <w:endnote w:type="continuationSeparator" w:id="0">
    <w:p w14:paraId="1EACA1E6" w14:textId="77777777" w:rsidR="00E64432" w:rsidRDefault="00E64432" w:rsidP="0032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2291005"/>
      <w:docPartObj>
        <w:docPartGallery w:val="Page Numbers (Bottom of Page)"/>
        <w:docPartUnique/>
      </w:docPartObj>
    </w:sdtPr>
    <w:sdtEndPr/>
    <w:sdtContent>
      <w:p w14:paraId="306BFED0" w14:textId="77777777" w:rsidR="008443E7" w:rsidRDefault="008443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598">
          <w:rPr>
            <w:noProof/>
          </w:rPr>
          <w:t>1</w:t>
        </w:r>
        <w:r>
          <w:fldChar w:fldCharType="end"/>
        </w:r>
      </w:p>
    </w:sdtContent>
  </w:sdt>
  <w:p w14:paraId="3A1B3E84" w14:textId="77777777" w:rsidR="008443E7" w:rsidRDefault="008443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FF58C" w14:textId="77777777" w:rsidR="00E64432" w:rsidRDefault="00E64432" w:rsidP="00322783">
      <w:pPr>
        <w:spacing w:after="0" w:line="240" w:lineRule="auto"/>
      </w:pPr>
      <w:r>
        <w:separator/>
      </w:r>
    </w:p>
  </w:footnote>
  <w:footnote w:type="continuationSeparator" w:id="0">
    <w:p w14:paraId="5C12DD6C" w14:textId="77777777" w:rsidR="00E64432" w:rsidRDefault="00E64432" w:rsidP="00322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65A8"/>
    <w:multiLevelType w:val="hybridMultilevel"/>
    <w:tmpl w:val="82D6F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094F"/>
    <w:multiLevelType w:val="hybridMultilevel"/>
    <w:tmpl w:val="98BAB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D40EA"/>
    <w:multiLevelType w:val="hybridMultilevel"/>
    <w:tmpl w:val="EA30D6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002F31"/>
    <w:multiLevelType w:val="hybridMultilevel"/>
    <w:tmpl w:val="9D64B198"/>
    <w:lvl w:ilvl="0" w:tplc="1CAE91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F219EB"/>
    <w:multiLevelType w:val="hybridMultilevel"/>
    <w:tmpl w:val="82D6F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C070E"/>
    <w:multiLevelType w:val="hybridMultilevel"/>
    <w:tmpl w:val="E03844C4"/>
    <w:lvl w:ilvl="0" w:tplc="7E7E40E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5422C1"/>
    <w:multiLevelType w:val="hybridMultilevel"/>
    <w:tmpl w:val="D500EB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9E2C1A"/>
    <w:multiLevelType w:val="hybridMultilevel"/>
    <w:tmpl w:val="D5AA6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B1219"/>
    <w:multiLevelType w:val="hybridMultilevel"/>
    <w:tmpl w:val="9B6CE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5744B"/>
    <w:multiLevelType w:val="hybridMultilevel"/>
    <w:tmpl w:val="734A7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D3E57"/>
    <w:multiLevelType w:val="hybridMultilevel"/>
    <w:tmpl w:val="27740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72255"/>
    <w:multiLevelType w:val="hybridMultilevel"/>
    <w:tmpl w:val="D5AA6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B6F94"/>
    <w:multiLevelType w:val="hybridMultilevel"/>
    <w:tmpl w:val="B7E2C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229C3"/>
    <w:multiLevelType w:val="hybridMultilevel"/>
    <w:tmpl w:val="F954915A"/>
    <w:lvl w:ilvl="0" w:tplc="B7C45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82C34"/>
    <w:multiLevelType w:val="hybridMultilevel"/>
    <w:tmpl w:val="2520B9E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81D0068"/>
    <w:multiLevelType w:val="hybridMultilevel"/>
    <w:tmpl w:val="1E945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D78FCC4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B30BB"/>
    <w:multiLevelType w:val="hybridMultilevel"/>
    <w:tmpl w:val="4D4244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C240422"/>
    <w:multiLevelType w:val="hybridMultilevel"/>
    <w:tmpl w:val="AC92E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3F72"/>
    <w:multiLevelType w:val="hybridMultilevel"/>
    <w:tmpl w:val="86C84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95775"/>
    <w:multiLevelType w:val="hybridMultilevel"/>
    <w:tmpl w:val="C8E46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066BC"/>
    <w:multiLevelType w:val="hybridMultilevel"/>
    <w:tmpl w:val="EA30D6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2B7739A"/>
    <w:multiLevelType w:val="hybridMultilevel"/>
    <w:tmpl w:val="67FA7D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8F755FC"/>
    <w:multiLevelType w:val="hybridMultilevel"/>
    <w:tmpl w:val="EDAC940A"/>
    <w:lvl w:ilvl="0" w:tplc="231C3806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9847592"/>
    <w:multiLevelType w:val="hybridMultilevel"/>
    <w:tmpl w:val="63AA0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C00D6"/>
    <w:multiLevelType w:val="hybridMultilevel"/>
    <w:tmpl w:val="64C69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07F35"/>
    <w:multiLevelType w:val="hybridMultilevel"/>
    <w:tmpl w:val="C26A0E08"/>
    <w:lvl w:ilvl="0" w:tplc="1728BF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F72C5"/>
    <w:multiLevelType w:val="hybridMultilevel"/>
    <w:tmpl w:val="7396D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A70D4"/>
    <w:multiLevelType w:val="hybridMultilevel"/>
    <w:tmpl w:val="7A882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105AB"/>
    <w:multiLevelType w:val="hybridMultilevel"/>
    <w:tmpl w:val="2E7810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E8045BE"/>
    <w:multiLevelType w:val="hybridMultilevel"/>
    <w:tmpl w:val="77768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28"/>
  </w:num>
  <w:num w:numId="5">
    <w:abstractNumId w:val="17"/>
  </w:num>
  <w:num w:numId="6">
    <w:abstractNumId w:val="16"/>
  </w:num>
  <w:num w:numId="7">
    <w:abstractNumId w:val="11"/>
  </w:num>
  <w:num w:numId="8">
    <w:abstractNumId w:val="7"/>
  </w:num>
  <w:num w:numId="9">
    <w:abstractNumId w:val="15"/>
  </w:num>
  <w:num w:numId="10">
    <w:abstractNumId w:val="9"/>
  </w:num>
  <w:num w:numId="11">
    <w:abstractNumId w:val="8"/>
  </w:num>
  <w:num w:numId="12">
    <w:abstractNumId w:val="5"/>
  </w:num>
  <w:num w:numId="13">
    <w:abstractNumId w:val="23"/>
  </w:num>
  <w:num w:numId="14">
    <w:abstractNumId w:val="20"/>
  </w:num>
  <w:num w:numId="15">
    <w:abstractNumId w:val="18"/>
  </w:num>
  <w:num w:numId="16">
    <w:abstractNumId w:val="6"/>
  </w:num>
  <w:num w:numId="17">
    <w:abstractNumId w:val="4"/>
  </w:num>
  <w:num w:numId="18">
    <w:abstractNumId w:val="12"/>
  </w:num>
  <w:num w:numId="19">
    <w:abstractNumId w:val="21"/>
  </w:num>
  <w:num w:numId="20">
    <w:abstractNumId w:val="2"/>
  </w:num>
  <w:num w:numId="21">
    <w:abstractNumId w:val="22"/>
  </w:num>
  <w:num w:numId="22">
    <w:abstractNumId w:val="14"/>
  </w:num>
  <w:num w:numId="23">
    <w:abstractNumId w:val="27"/>
  </w:num>
  <w:num w:numId="24">
    <w:abstractNumId w:val="26"/>
  </w:num>
  <w:num w:numId="25">
    <w:abstractNumId w:val="24"/>
  </w:num>
  <w:num w:numId="26">
    <w:abstractNumId w:val="25"/>
  </w:num>
  <w:num w:numId="27">
    <w:abstractNumId w:val="1"/>
  </w:num>
  <w:num w:numId="28">
    <w:abstractNumId w:val="3"/>
  </w:num>
  <w:num w:numId="29">
    <w:abstractNumId w:val="1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A3"/>
    <w:rsid w:val="000101EA"/>
    <w:rsid w:val="00061C28"/>
    <w:rsid w:val="00107173"/>
    <w:rsid w:val="00107467"/>
    <w:rsid w:val="001310AD"/>
    <w:rsid w:val="0014768E"/>
    <w:rsid w:val="001950B6"/>
    <w:rsid w:val="001C068F"/>
    <w:rsid w:val="001D0EC7"/>
    <w:rsid w:val="001D15E5"/>
    <w:rsid w:val="001D5750"/>
    <w:rsid w:val="001D6FC5"/>
    <w:rsid w:val="00210951"/>
    <w:rsid w:val="002302F3"/>
    <w:rsid w:val="0023100E"/>
    <w:rsid w:val="002862BD"/>
    <w:rsid w:val="00286E66"/>
    <w:rsid w:val="00317C36"/>
    <w:rsid w:val="00322783"/>
    <w:rsid w:val="003361CC"/>
    <w:rsid w:val="00361A83"/>
    <w:rsid w:val="003974BB"/>
    <w:rsid w:val="003C519B"/>
    <w:rsid w:val="003E695C"/>
    <w:rsid w:val="0041541F"/>
    <w:rsid w:val="00440482"/>
    <w:rsid w:val="004579A3"/>
    <w:rsid w:val="004A668B"/>
    <w:rsid w:val="004B6E85"/>
    <w:rsid w:val="004B7598"/>
    <w:rsid w:val="004C6562"/>
    <w:rsid w:val="005310B6"/>
    <w:rsid w:val="005621D5"/>
    <w:rsid w:val="0059331A"/>
    <w:rsid w:val="0059582D"/>
    <w:rsid w:val="005A100E"/>
    <w:rsid w:val="005E16A4"/>
    <w:rsid w:val="00623F9B"/>
    <w:rsid w:val="00682A4A"/>
    <w:rsid w:val="00686A8B"/>
    <w:rsid w:val="0069523A"/>
    <w:rsid w:val="006C27FD"/>
    <w:rsid w:val="006C2873"/>
    <w:rsid w:val="006D29D6"/>
    <w:rsid w:val="00715D3F"/>
    <w:rsid w:val="00730A77"/>
    <w:rsid w:val="00736219"/>
    <w:rsid w:val="007920B0"/>
    <w:rsid w:val="00841618"/>
    <w:rsid w:val="008443E7"/>
    <w:rsid w:val="008548C0"/>
    <w:rsid w:val="0086587B"/>
    <w:rsid w:val="008B3E5D"/>
    <w:rsid w:val="008D1146"/>
    <w:rsid w:val="008D4755"/>
    <w:rsid w:val="008F7BB4"/>
    <w:rsid w:val="00925641"/>
    <w:rsid w:val="00930596"/>
    <w:rsid w:val="0094331F"/>
    <w:rsid w:val="009478A4"/>
    <w:rsid w:val="00964961"/>
    <w:rsid w:val="0097143C"/>
    <w:rsid w:val="009B0682"/>
    <w:rsid w:val="009B1F62"/>
    <w:rsid w:val="009E0F29"/>
    <w:rsid w:val="009F577F"/>
    <w:rsid w:val="00A16A8D"/>
    <w:rsid w:val="00A20334"/>
    <w:rsid w:val="00A452D2"/>
    <w:rsid w:val="00A453AB"/>
    <w:rsid w:val="00A76290"/>
    <w:rsid w:val="00A91C67"/>
    <w:rsid w:val="00AA71C9"/>
    <w:rsid w:val="00AB22B4"/>
    <w:rsid w:val="00B00CE3"/>
    <w:rsid w:val="00B1015B"/>
    <w:rsid w:val="00B1120B"/>
    <w:rsid w:val="00B24874"/>
    <w:rsid w:val="00B50708"/>
    <w:rsid w:val="00B706FA"/>
    <w:rsid w:val="00BA01FF"/>
    <w:rsid w:val="00BE2919"/>
    <w:rsid w:val="00BE7C90"/>
    <w:rsid w:val="00BF61E9"/>
    <w:rsid w:val="00C17A4F"/>
    <w:rsid w:val="00CD5C9A"/>
    <w:rsid w:val="00D05D93"/>
    <w:rsid w:val="00D2135C"/>
    <w:rsid w:val="00D21A36"/>
    <w:rsid w:val="00D856B9"/>
    <w:rsid w:val="00D85B82"/>
    <w:rsid w:val="00D91D4E"/>
    <w:rsid w:val="00DA3277"/>
    <w:rsid w:val="00DC2D4D"/>
    <w:rsid w:val="00DC4A81"/>
    <w:rsid w:val="00E061D0"/>
    <w:rsid w:val="00E20C3C"/>
    <w:rsid w:val="00E3180F"/>
    <w:rsid w:val="00E35798"/>
    <w:rsid w:val="00E64432"/>
    <w:rsid w:val="00E85BDA"/>
    <w:rsid w:val="00F537F9"/>
    <w:rsid w:val="00F963B1"/>
    <w:rsid w:val="00FB7F4A"/>
    <w:rsid w:val="00FC0A5E"/>
    <w:rsid w:val="00FD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29B52"/>
  <w15:docId w15:val="{F200B71B-DAB8-4D9F-A1AF-B94AC8EA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D3F"/>
    <w:rPr>
      <w:rFonts w:ascii="Cambria" w:eastAsia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D3F"/>
    <w:pPr>
      <w:ind w:left="720"/>
      <w:contextualSpacing/>
    </w:pPr>
  </w:style>
  <w:style w:type="paragraph" w:customStyle="1" w:styleId="doc">
    <w:name w:val=".doc"/>
    <w:rsid w:val="00322783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322783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322783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Uwydatnienie">
    <w:name w:val="Emphasis"/>
    <w:uiPriority w:val="20"/>
    <w:qFormat/>
    <w:rsid w:val="00686A8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C9A"/>
    <w:rPr>
      <w:rFonts w:ascii="Tahoma" w:eastAsia="Cambri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31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80F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E31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80F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6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B594-99F0-4A8B-B0A4-93B369D4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2116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SS. Szadok</dc:creator>
  <cp:lastModifiedBy>Miłosz</cp:lastModifiedBy>
  <cp:revision>2</cp:revision>
  <cp:lastPrinted>2015-04-14T06:40:00Z</cp:lastPrinted>
  <dcterms:created xsi:type="dcterms:W3CDTF">2019-11-11T19:48:00Z</dcterms:created>
  <dcterms:modified xsi:type="dcterms:W3CDTF">2019-11-11T19:48:00Z</dcterms:modified>
</cp:coreProperties>
</file>